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F0" w:rsidRDefault="00480303">
      <w:pPr>
        <w:rPr>
          <w:rFonts w:ascii="Aistika" w:hAnsi="Aistika" w:cs="Aistika"/>
          <w:b/>
        </w:rPr>
      </w:pPr>
      <w:r>
        <w:rPr>
          <w:rFonts w:ascii="Aistika" w:hAnsi="Aistika" w:cs="Aistika"/>
          <w:b/>
        </w:rPr>
        <w:t>Bausmių vykdymo teisės kurso egzamino klausimai</w:t>
      </w:r>
      <w:r w:rsidR="00A24DD7">
        <w:rPr>
          <w:rFonts w:ascii="Aistika" w:hAnsi="Aistika" w:cs="Aistika"/>
          <w:b/>
        </w:rPr>
        <w:t xml:space="preserve"> </w:t>
      </w:r>
      <w:r w:rsidR="004E0577" w:rsidRPr="00674C5C">
        <w:rPr>
          <w:rFonts w:ascii="Aistika" w:hAnsi="Aistika" w:cs="Aistika"/>
          <w:b/>
          <w:color w:val="FF0000"/>
          <w:u w:val="single"/>
        </w:rPr>
        <w:t>sesijinių</w:t>
      </w:r>
      <w:r w:rsidR="00A24DD7">
        <w:rPr>
          <w:rFonts w:ascii="Aistika" w:hAnsi="Aistika" w:cs="Aistika"/>
          <w:b/>
        </w:rPr>
        <w:t xml:space="preserve"> studijų studentams</w:t>
      </w:r>
    </w:p>
    <w:p w:rsidR="00FC45F0" w:rsidRDefault="00F87EDA">
      <w:pPr>
        <w:rPr>
          <w:rFonts w:ascii="Aistika" w:hAnsi="Aistika" w:cs="Aistika"/>
          <w:sz w:val="20"/>
          <w:szCs w:val="20"/>
        </w:rPr>
      </w:pPr>
      <w:r>
        <w:rPr>
          <w:rFonts w:ascii="Aistika" w:hAnsi="Aistika" w:cs="Aistika"/>
          <w:sz w:val="20"/>
          <w:szCs w:val="20"/>
        </w:rPr>
        <w:t xml:space="preserve">2017 m. </w:t>
      </w:r>
      <w:r w:rsidR="007B6904">
        <w:rPr>
          <w:rFonts w:ascii="Aistika" w:hAnsi="Aistika" w:cs="Aistika"/>
          <w:sz w:val="20"/>
          <w:szCs w:val="20"/>
        </w:rPr>
        <w:t>birželio 3</w:t>
      </w:r>
      <w:r w:rsidR="00B546A4">
        <w:rPr>
          <w:rFonts w:ascii="Aistika" w:hAnsi="Aistika" w:cs="Aistika"/>
          <w:sz w:val="20"/>
          <w:szCs w:val="20"/>
        </w:rPr>
        <w:t xml:space="preserve"> d. (</w:t>
      </w:r>
      <w:r w:rsidR="007B6904">
        <w:rPr>
          <w:rFonts w:ascii="Aistika" w:hAnsi="Aistika" w:cs="Aistika"/>
          <w:sz w:val="20"/>
          <w:szCs w:val="20"/>
        </w:rPr>
        <w:t>šeštadienį), 11.00 val., 401</w:t>
      </w:r>
      <w:r w:rsidR="00480303">
        <w:rPr>
          <w:rFonts w:ascii="Aistika" w:hAnsi="Aistika" w:cs="Aistika"/>
          <w:sz w:val="20"/>
          <w:szCs w:val="20"/>
        </w:rPr>
        <w:t xml:space="preserve"> a.</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bookmarkStart w:id="0" w:name="_GoBack"/>
      <w:bookmarkEnd w:id="0"/>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00F03BE6">
        <w:rPr>
          <w:rFonts w:ascii="Aistika" w:eastAsia="Aistika" w:hAnsi="Aistika" w:cs="Aistika"/>
          <w:b/>
          <w:sz w:val="18"/>
          <w:szCs w:val="18"/>
        </w:rPr>
        <w:t>, taip pat žemiau esančias pastabas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w:t>
      </w:r>
      <w:r w:rsidR="007B6904">
        <w:rPr>
          <w:rFonts w:ascii="Aistika" w:eastAsia="Aistika" w:hAnsi="Aistika" w:cs="Aistika"/>
          <w:sz w:val="18"/>
          <w:szCs w:val="18"/>
        </w:rPr>
        <w:t>–</w:t>
      </w:r>
      <w:r w:rsidRPr="000B05FD">
        <w:rPr>
          <w:rFonts w:ascii="Aistika" w:eastAsia="Aistika" w:hAnsi="Aistika" w:cs="Aistika"/>
          <w:sz w:val="18"/>
          <w:szCs w:val="18"/>
        </w:rPr>
        <w:t xml:space="preserve">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963AB3">
        <w:rPr>
          <w:rFonts w:ascii="Aistika" w:eastAsia="Aistika" w:hAnsi="Aistika" w:cs="Aistika"/>
          <w:b/>
          <w:color w:val="0000FF"/>
          <w:sz w:val="18"/>
          <w:szCs w:val="18"/>
        </w:rPr>
        <w:t>yra internete</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Pr="00DF4BDC" w:rsidRDefault="00DB6C18">
      <w:pPr>
        <w:rPr>
          <w:rFonts w:ascii="Garamond" w:hAnsi="Garamond" w:cs="Tahoma"/>
          <w:sz w:val="20"/>
          <w:szCs w:val="20"/>
        </w:rPr>
      </w:pPr>
    </w:p>
    <w:p w:rsidR="00FC45F0" w:rsidRDefault="00480303">
      <w:pPr>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Pr="00DF4BDC" w:rsidRDefault="00DB6C18">
      <w:pPr>
        <w:rPr>
          <w:rFonts w:ascii="Garamond" w:hAnsi="Garamond" w:cs="Garamond"/>
          <w:bCs/>
          <w:sz w:val="20"/>
          <w:szCs w:val="20"/>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Pr="00DF4BDC" w:rsidRDefault="00DB6C18">
      <w:pPr>
        <w:rPr>
          <w:rFonts w:ascii="Garamond" w:hAnsi="Garamond" w:cs="Tahoma"/>
          <w:sz w:val="20"/>
          <w:szCs w:val="20"/>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Pr="00DF4BDC" w:rsidRDefault="00DB6C18">
      <w:pPr>
        <w:rPr>
          <w:rFonts w:ascii="Garamond" w:hAnsi="Garamond" w:cs="Tahoma"/>
          <w:sz w:val="20"/>
          <w:szCs w:val="20"/>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p>
        </w:tc>
      </w:tr>
    </w:tbl>
    <w:p w:rsidR="00DB6C18" w:rsidRPr="00DF4BDC" w:rsidRDefault="00DB6C18">
      <w:pPr>
        <w:rPr>
          <w:rFonts w:ascii="Garamond" w:hAnsi="Garamond" w:cs="Garamond"/>
          <w:sz w:val="20"/>
          <w:szCs w:val="20"/>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problemos, 2015, Nr. 2, p. 5–53.</w:t>
            </w:r>
          </w:p>
        </w:tc>
      </w:tr>
    </w:tbl>
    <w:p w:rsidR="003B5BB0" w:rsidRPr="00DF4BDC" w:rsidRDefault="003B5BB0">
      <w:pPr>
        <w:rPr>
          <w:rFonts w:ascii="Garamond" w:hAnsi="Garamond" w:cs="Garamond"/>
          <w:sz w:val="20"/>
          <w:szCs w:val="20"/>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Pr="00DF4BDC" w:rsidRDefault="003B5BB0">
      <w:pPr>
        <w:rPr>
          <w:rFonts w:ascii="Garamond" w:hAnsi="Garamond" w:cs="Garamond"/>
          <w:sz w:val="20"/>
          <w:szCs w:val="20"/>
        </w:rPr>
      </w:pPr>
    </w:p>
    <w:p w:rsidR="00FC45F0" w:rsidRDefault="00480303">
      <w:pPr>
        <w:rPr>
          <w:rFonts w:ascii="Garamond" w:hAnsi="Garamond" w:cs="Garamond"/>
        </w:rPr>
      </w:pPr>
      <w:r>
        <w:rPr>
          <w:rFonts w:ascii="Garamond" w:hAnsi="Garamond" w:cs="Garamond"/>
        </w:rPr>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ipersaitas"/>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p>
        </w:tc>
      </w:tr>
    </w:tbl>
    <w:p w:rsidR="003B5BB0" w:rsidRPr="00DF4BDC" w:rsidRDefault="003B5BB0">
      <w:pPr>
        <w:rPr>
          <w:rFonts w:ascii="Garamond" w:hAnsi="Garamond" w:cs="Garamond"/>
          <w:sz w:val="20"/>
          <w:szCs w:val="20"/>
        </w:rPr>
      </w:pPr>
    </w:p>
    <w:p w:rsidR="00FC45F0" w:rsidRDefault="00AA6525">
      <w:pPr>
        <w:rPr>
          <w:rFonts w:ascii="Garamond" w:hAnsi="Garamond" w:cs="Garamond"/>
        </w:rPr>
      </w:pPr>
      <w:r>
        <w:rPr>
          <w:rFonts w:ascii="Garamond" w:hAnsi="Garamond" w:cs="Garamond"/>
        </w:rPr>
        <w:t>9</w:t>
      </w:r>
      <w:r w:rsidR="00480303">
        <w:rPr>
          <w:rFonts w:ascii="Garamond" w:hAnsi="Garamond" w:cs="Garamond"/>
        </w:rPr>
        <w:t>.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sidR="00480303">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FC45F0" w:rsidRDefault="00AA6525">
      <w:pPr>
        <w:rPr>
          <w:rFonts w:ascii="Garamond" w:hAnsi="Garamond" w:cs="Garamond"/>
        </w:rPr>
      </w:pPr>
      <w:r>
        <w:rPr>
          <w:rFonts w:ascii="Garamond" w:hAnsi="Garamond" w:cs="Garamond"/>
        </w:rPr>
        <w:lastRenderedPageBreak/>
        <w:t>10</w:t>
      </w:r>
      <w:r w:rsidR="00480303">
        <w:rPr>
          <w:rFonts w:ascii="Garamond" w:hAnsi="Garamond" w:cs="Garamond"/>
        </w:rPr>
        <w:t>.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xml:space="preserve"> Tarptautinių baudžiamosios justicijos standartų realizavimo aspektai vykdant laisvės atėmimą // Socialinių mokslų studijos, 2010, Nr. 4 (8), p. 339–355. </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11</w:t>
      </w:r>
      <w:r w:rsidR="00480303">
        <w:rPr>
          <w:rFonts w:ascii="Garamond" w:hAnsi="Garamond" w:cs="Garamond"/>
        </w:rPr>
        <w:t>. Kokie yra baudos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12</w:t>
      </w:r>
      <w:r w:rsidR="00480303">
        <w:rPr>
          <w:rFonts w:ascii="Garamond" w:hAnsi="Garamond" w:cs="Garamond"/>
        </w:rPr>
        <w:t>. Kokie yra viešųjų darbų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13</w:t>
      </w:r>
      <w:r w:rsidR="00480303">
        <w:rPr>
          <w:rFonts w:ascii="Garamond" w:hAnsi="Garamond" w:cs="Garamond"/>
        </w:rPr>
        <w:t>. Kokie yra laisvės apribojimo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14</w:t>
      </w:r>
      <w:r w:rsidR="00480303">
        <w:rPr>
          <w:rFonts w:ascii="Garamond" w:hAnsi="Garamond" w:cs="Garamond"/>
        </w:rPr>
        <w:t>. Kokie yra arešto bausmės vykdymo ypatumai?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AA6525" w:rsidP="00603B7D">
      <w:pPr>
        <w:rPr>
          <w:rFonts w:ascii="Garamond" w:hAnsi="Garamond" w:cs="Garamond"/>
        </w:rPr>
      </w:pPr>
      <w:r>
        <w:rPr>
          <w:rFonts w:ascii="Garamond" w:hAnsi="Garamond" w:cs="Garamond"/>
        </w:rPr>
        <w:t>15</w:t>
      </w:r>
      <w:r w:rsidR="00480303">
        <w:rPr>
          <w:rFonts w:ascii="Garamond" w:hAnsi="Garamond" w:cs="Garamond"/>
        </w:rPr>
        <w:t>.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Pr>
                <w:rFonts w:ascii="Aistika" w:eastAsia="Aistika" w:hAnsi="Aistika" w:cs="Aistika"/>
                <w:sz w:val="16"/>
                <w:szCs w:val="16"/>
              </w:rPr>
              <w:t>2015.</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16</w:t>
      </w:r>
      <w:r w:rsidR="00480303">
        <w:rPr>
          <w:rFonts w:ascii="Garamond" w:hAnsi="Garamond" w:cs="Garamond"/>
        </w:rPr>
        <w:t>. Kaip Lietuvoje reglamentuojamas įkalintų asmenų darbas ir užmokestis už jį?</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17</w:t>
      </w:r>
      <w:r w:rsidR="00480303">
        <w:rPr>
          <w:rFonts w:ascii="Garamond" w:hAnsi="Garamond" w:cs="Garamond"/>
        </w:rPr>
        <w:t>. Kokios įkalinimo įstaigų „atvėrimo“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18</w:t>
      </w:r>
      <w:r w:rsidR="00480303">
        <w:rPr>
          <w:rFonts w:ascii="Garamond" w:hAnsi="Garamond" w:cs="Garamond"/>
        </w:rPr>
        <w:t>.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Mackevičius T.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AA6525">
      <w:pPr>
        <w:rPr>
          <w:rFonts w:ascii="Garamond" w:hAnsi="Garamond" w:cs="Garamond"/>
        </w:rPr>
      </w:pPr>
      <w:r>
        <w:rPr>
          <w:rFonts w:ascii="Garamond" w:hAnsi="Garamond" w:cs="Garamond"/>
        </w:rPr>
        <w:t>19</w:t>
      </w:r>
      <w:r w:rsidR="00480303">
        <w:rPr>
          <w:rFonts w:ascii="Garamond" w:hAnsi="Garamond" w:cs="Garamond"/>
        </w:rPr>
        <w:t>.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Sakalauskas G.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20</w:t>
      </w:r>
      <w:r w:rsidR="00480303">
        <w:rPr>
          <w:rFonts w:ascii="Garamond" w:hAnsi="Garamond" w:cs="Garamond"/>
        </w:rPr>
        <w:t xml:space="preserve">. Kas yra intensyvi priežiūra (elektroninis stebėjimas), kokie jos </w:t>
      </w:r>
      <w:proofErr w:type="spellStart"/>
      <w:r w:rsidR="00480303">
        <w:rPr>
          <w:rFonts w:ascii="Garamond" w:hAnsi="Garamond" w:cs="Garamond"/>
        </w:rPr>
        <w:t>privalumai</w:t>
      </w:r>
      <w:proofErr w:type="spellEnd"/>
      <w:r w:rsidR="00480303">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p>
        </w:tc>
      </w:tr>
    </w:tbl>
    <w:p w:rsidR="00FC45F0" w:rsidRPr="00F87EDA" w:rsidRDefault="00FC45F0">
      <w:pPr>
        <w:rPr>
          <w:rFonts w:ascii="Garamond" w:hAnsi="Garamond" w:cs="Garamond"/>
          <w:b/>
          <w:caps/>
          <w:sz w:val="16"/>
          <w:szCs w:val="16"/>
        </w:rPr>
      </w:pPr>
    </w:p>
    <w:p w:rsidR="00FC45F0" w:rsidRDefault="00480303">
      <w:pPr>
        <w:rPr>
          <w:rFonts w:ascii="Garamond" w:hAnsi="Garamond" w:cs="Garamond"/>
          <w:b/>
          <w:caps/>
          <w:sz w:val="20"/>
          <w:szCs w:val="20"/>
        </w:rPr>
      </w:pPr>
      <w:r>
        <w:rPr>
          <w:rFonts w:ascii="Garamond" w:hAnsi="Garamond" w:cs="Garamond"/>
          <w:b/>
          <w:caps/>
          <w:sz w:val="20"/>
          <w:szCs w:val="20"/>
        </w:rPr>
        <w:t>Pastabos: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lastRenderedPageBreak/>
        <w:t xml:space="preserve">išugdyti gebėjimai dirbti individualiai. </w:t>
      </w:r>
    </w:p>
    <w:p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w:t>
      </w:r>
      <w:r w:rsidR="00DF4BDC">
        <w:rPr>
          <w:rFonts w:ascii="Garamond" w:hAnsi="Garamond" w:cs="Garamond"/>
          <w:sz w:val="20"/>
          <w:szCs w:val="20"/>
        </w:rPr>
        <w:t>iškai, remtis įgytomis žiniomis</w:t>
      </w:r>
      <w:r>
        <w:rPr>
          <w:rFonts w:ascii="Garamond" w:hAnsi="Garamond" w:cs="Garamond"/>
          <w:sz w:val="20"/>
          <w:szCs w:val="20"/>
        </w:rPr>
        <w:t>.</w:t>
      </w:r>
    </w:p>
    <w:p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Sąlygos</w:t>
      </w:r>
      <w:r>
        <w:rPr>
          <w:rFonts w:ascii="Garamond" w:hAnsi="Garamond" w:cs="Garamond"/>
          <w:b/>
          <w:sz w:val="20"/>
          <w:szCs w:val="20"/>
        </w:rPr>
        <w:t xml:space="preserve">: </w:t>
      </w:r>
      <w:r>
        <w:rPr>
          <w:rFonts w:ascii="Garamond" w:hAnsi="Garamond" w:cs="Garamond"/>
          <w:sz w:val="20"/>
          <w:szCs w:val="20"/>
        </w:rPr>
        <w:t>egzamino metu</w:t>
      </w:r>
      <w:r>
        <w:rPr>
          <w:rFonts w:ascii="Garamond" w:hAnsi="Garamond" w:cs="Garamond"/>
          <w:b/>
          <w:sz w:val="20"/>
          <w:szCs w:val="20"/>
        </w:rPr>
        <w:t xml:space="preserve"> </w:t>
      </w:r>
      <w:r>
        <w:rPr>
          <w:rFonts w:ascii="Garamond" w:hAnsi="Garamond" w:cs="Garamond"/>
          <w:sz w:val="20"/>
          <w:szCs w:val="20"/>
        </w:rPr>
        <w:t xml:space="preserve">jokia literatūra (nei paskaitų kurso skaidrėmis, nei užrašais, nei straipsniais, nei kopijomis, nei teisės aktais ir pan.) </w:t>
      </w:r>
      <w:r>
        <w:rPr>
          <w:rFonts w:ascii="Garamond" w:hAnsi="Garamond" w:cs="Garamond"/>
          <w:b/>
          <w:sz w:val="20"/>
          <w:szCs w:val="20"/>
        </w:rPr>
        <w:t>naudotis neleidžiama</w:t>
      </w:r>
      <w:r>
        <w:rPr>
          <w:rFonts w:ascii="Garamond" w:hAnsi="Garamond" w:cs="Garamond"/>
          <w:sz w:val="20"/>
          <w:szCs w:val="20"/>
        </w:rPr>
        <w:t>.</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Laikas ir vieta</w:t>
      </w:r>
      <w:r>
        <w:rPr>
          <w:rFonts w:ascii="Garamond" w:hAnsi="Garamond" w:cs="Garamond"/>
          <w:b/>
          <w:sz w:val="20"/>
          <w:szCs w:val="20"/>
        </w:rPr>
        <w:t>:</w:t>
      </w:r>
      <w:r w:rsidR="00F15C50">
        <w:rPr>
          <w:rFonts w:ascii="Garamond" w:hAnsi="Garamond" w:cs="Garamond"/>
          <w:sz w:val="20"/>
          <w:szCs w:val="20"/>
        </w:rPr>
        <w:t xml:space="preserve"> 2017</w:t>
      </w:r>
      <w:r w:rsidR="004D70B7">
        <w:rPr>
          <w:rFonts w:ascii="Garamond" w:hAnsi="Garamond" w:cs="Garamond"/>
          <w:sz w:val="20"/>
          <w:szCs w:val="20"/>
        </w:rPr>
        <w:t xml:space="preserve"> m. </w:t>
      </w:r>
      <w:r w:rsidR="00DF4BDC">
        <w:rPr>
          <w:rFonts w:ascii="Garamond" w:hAnsi="Garamond" w:cs="Garamond"/>
          <w:sz w:val="20"/>
          <w:szCs w:val="20"/>
        </w:rPr>
        <w:t>birželio 3</w:t>
      </w:r>
      <w:r>
        <w:rPr>
          <w:rFonts w:ascii="Garamond" w:hAnsi="Garamond" w:cs="Garamond"/>
          <w:sz w:val="20"/>
          <w:szCs w:val="20"/>
        </w:rPr>
        <w:t xml:space="preserve"> d. (</w:t>
      </w:r>
      <w:r w:rsidR="00DF4BDC">
        <w:rPr>
          <w:rFonts w:ascii="Garamond" w:hAnsi="Garamond" w:cs="Garamond"/>
          <w:sz w:val="20"/>
          <w:szCs w:val="20"/>
        </w:rPr>
        <w:t>šeštadienis) 11 val. 00 min. 401</w:t>
      </w:r>
      <w:r>
        <w:rPr>
          <w:rFonts w:ascii="Garamond" w:hAnsi="Garamond" w:cs="Garamond"/>
          <w:sz w:val="20"/>
          <w:szCs w:val="20"/>
        </w:rPr>
        <w:t xml:space="preserve"> a. Egzaminas truks </w:t>
      </w:r>
      <w:r w:rsidR="003D352A">
        <w:rPr>
          <w:rFonts w:ascii="Garamond" w:hAnsi="Garamond" w:cs="Garamond"/>
          <w:b/>
          <w:sz w:val="20"/>
          <w:szCs w:val="20"/>
        </w:rPr>
        <w:t>1 val.</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xml:space="preserve">. VU Studijų </w:t>
      </w:r>
      <w:r w:rsidR="00086F8A">
        <w:rPr>
          <w:rFonts w:ascii="Garamond" w:hAnsi="Garamond" w:cs="Garamond"/>
          <w:sz w:val="20"/>
          <w:szCs w:val="20"/>
        </w:rPr>
        <w:t xml:space="preserve">pasiekimų </w:t>
      </w:r>
      <w:r>
        <w:rPr>
          <w:rFonts w:ascii="Garamond" w:hAnsi="Garamond" w:cs="Garamond"/>
          <w:sz w:val="20"/>
          <w:szCs w:val="20"/>
        </w:rPr>
        <w:t>v</w:t>
      </w:r>
      <w:r w:rsidR="00086F8A">
        <w:rPr>
          <w:rFonts w:ascii="Garamond" w:hAnsi="Garamond" w:cs="Garamond"/>
          <w:sz w:val="20"/>
          <w:szCs w:val="20"/>
        </w:rPr>
        <w:t>ertinimo tvarkoje (patvirtintoje 2012-12-13) nustatyta</w:t>
      </w:r>
      <w:r>
        <w:rPr>
          <w:rFonts w:ascii="Garamond" w:hAnsi="Garamond" w:cs="Garamond"/>
          <w:sz w:val="20"/>
          <w:szCs w:val="20"/>
        </w:rPr>
        <w:t>:</w:t>
      </w:r>
    </w:p>
    <w:p w:rsidR="00086F8A" w:rsidRPr="008B30F9" w:rsidRDefault="00086F8A" w:rsidP="00086F8A">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rsidR="00FC45F0" w:rsidRPr="00F15C50" w:rsidRDefault="00086F8A" w:rsidP="00086F8A">
      <w:pPr>
        <w:spacing w:before="60" w:after="60"/>
        <w:rPr>
          <w:rFonts w:ascii="Garamond" w:hAnsi="Garamond" w:cs="Garamond"/>
          <w:sz w:val="14"/>
          <w:szCs w:val="14"/>
          <w:shd w:val="clear" w:color="auto" w:fill="FFFFFF"/>
        </w:rPr>
      </w:pPr>
      <w:r w:rsidRPr="008B30F9">
        <w:rPr>
          <w:rFonts w:ascii="Garamond" w:hAnsi="Garamond"/>
          <w:sz w:val="16"/>
          <w:szCs w:val="16"/>
        </w:rPr>
        <w:t>4 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w:t>
      </w:r>
      <w:r>
        <w:rPr>
          <w:rFonts w:ascii="Garamond" w:hAnsi="Garamond" w:cs="Garamond"/>
          <w:sz w:val="16"/>
          <w:szCs w:val="16"/>
          <w:shd w:val="clear" w:color="auto" w:fill="FFFFFF"/>
        </w:rPr>
        <w:t xml:space="preserve"> &lt;...&gt;.</w:t>
      </w:r>
      <w:r>
        <w:rPr>
          <w:rFonts w:ascii="Garamond" w:hAnsi="Garamond" w:cs="Garamond"/>
          <w:sz w:val="16"/>
          <w:szCs w:val="16"/>
          <w:shd w:val="clear" w:color="auto" w:fill="FFFFFF"/>
        </w:rPr>
        <w:t>“</w:t>
      </w:r>
    </w:p>
    <w:p w:rsidR="00480303" w:rsidRDefault="00480303">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F87EDA">
        <w:rPr>
          <w:rFonts w:ascii="Garamond" w:hAnsi="Garamond" w:cs="Garamond"/>
          <w:sz w:val="20"/>
          <w:szCs w:val="20"/>
        </w:rPr>
        <w:t>: iki 2017</w:t>
      </w:r>
      <w:r w:rsidR="003D352A">
        <w:rPr>
          <w:rFonts w:ascii="Garamond" w:hAnsi="Garamond" w:cs="Garamond"/>
          <w:sz w:val="20"/>
          <w:szCs w:val="20"/>
        </w:rPr>
        <w:t xml:space="preserve"> m. </w:t>
      </w:r>
      <w:r w:rsidR="00DF4BDC">
        <w:rPr>
          <w:rFonts w:ascii="Garamond" w:hAnsi="Garamond" w:cs="Garamond"/>
          <w:sz w:val="20"/>
          <w:szCs w:val="20"/>
        </w:rPr>
        <w:t>birželio 9</w:t>
      </w:r>
      <w:r>
        <w:rPr>
          <w:rFonts w:ascii="Garamond" w:hAnsi="Garamond" w:cs="Garamond"/>
          <w:sz w:val="20"/>
          <w:szCs w:val="20"/>
        </w:rPr>
        <w:t xml:space="preserve"> d.</w:t>
      </w:r>
    </w:p>
    <w:p w:rsidR="00DF4BDC" w:rsidRPr="00DF4BDC" w:rsidRDefault="00DF4BDC" w:rsidP="00DF4BDC">
      <w:pPr>
        <w:spacing w:before="40" w:after="40"/>
        <w:rPr>
          <w:rFonts w:ascii="Aistika" w:eastAsia="Wingdings" w:hAnsi="Aistika" w:cs="Wingdings"/>
          <w:color w:val="C00000"/>
          <w:sz w:val="18"/>
          <w:szCs w:val="18"/>
        </w:rPr>
      </w:pPr>
      <w:r w:rsidRPr="00DF4BDC">
        <w:rPr>
          <w:rFonts w:ascii="Aistika" w:hAnsi="Aistika"/>
          <w:color w:val="C00000"/>
          <w:sz w:val="18"/>
          <w:szCs w:val="18"/>
        </w:rPr>
        <w:t>(!) Linkiu įdomaus, prasmingo ir kompetenciją šioje srityje didinančio pasiruošimo egzaminui</w:t>
      </w:r>
      <w:r w:rsidRPr="00DF4BDC">
        <w:rPr>
          <w:rFonts w:ascii="Aistika" w:eastAsia="Wingdings" w:hAnsi="Aistika" w:cs="Wingdings"/>
          <w:color w:val="C00000"/>
          <w:sz w:val="18"/>
          <w:szCs w:val="18"/>
        </w:rPr>
        <w:sym w:font="Wingdings" w:char="F04A"/>
      </w:r>
    </w:p>
    <w:sectPr w:rsidR="00DF4BDC" w:rsidRPr="00DF4BDC"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06" w:rsidRDefault="002D2806">
      <w:r>
        <w:separator/>
      </w:r>
    </w:p>
  </w:endnote>
  <w:endnote w:type="continuationSeparator" w:id="0">
    <w:p w:rsidR="002D2806" w:rsidRDefault="002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istika">
    <w:panose1 w:val="02020603050405020304"/>
    <w:charset w:val="BA"/>
    <w:family w:val="roman"/>
    <w:pitch w:val="variable"/>
    <w:sig w:usb0="A00002FF" w:usb1="500078FB"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06" w:rsidRDefault="002D2806">
      <w:r>
        <w:separator/>
      </w:r>
    </w:p>
  </w:footnote>
  <w:footnote w:type="continuationSeparator" w:id="0">
    <w:p w:rsidR="002D2806" w:rsidRDefault="002D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F0" w:rsidRDefault="00480303">
    <w:pPr>
      <w:pStyle w:val="Antrats"/>
      <w:framePr w:wrap="auto" w:vAnchor="text" w:hAnchor="page" w:x="5850" w:y="1"/>
    </w:pPr>
    <w:r>
      <w:fldChar w:fldCharType="begin"/>
    </w:r>
    <w:r>
      <w:instrText xml:space="preserve"> PAGE \* Arabic </w:instrText>
    </w:r>
    <w:r>
      <w:fldChar w:fldCharType="separate"/>
    </w:r>
    <w:r w:rsidR="00674C5C">
      <w:rPr>
        <w:noProof/>
      </w:rPr>
      <w:t>3</w:t>
    </w:r>
    <w:r>
      <w:fldChar w:fldCharType="end"/>
    </w:r>
  </w:p>
  <w:p w:rsidR="00FC45F0" w:rsidRDefault="00FC45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4"/>
    <w:rsid w:val="00086F8A"/>
    <w:rsid w:val="000B05FD"/>
    <w:rsid w:val="000E6657"/>
    <w:rsid w:val="00197FB1"/>
    <w:rsid w:val="00273209"/>
    <w:rsid w:val="002D2806"/>
    <w:rsid w:val="00314FFE"/>
    <w:rsid w:val="003B22E1"/>
    <w:rsid w:val="003B5BB0"/>
    <w:rsid w:val="003D352A"/>
    <w:rsid w:val="00400446"/>
    <w:rsid w:val="00400F80"/>
    <w:rsid w:val="00480303"/>
    <w:rsid w:val="004D70B7"/>
    <w:rsid w:val="004E0577"/>
    <w:rsid w:val="005432FD"/>
    <w:rsid w:val="00593C9C"/>
    <w:rsid w:val="00603B7D"/>
    <w:rsid w:val="0063158C"/>
    <w:rsid w:val="006419C5"/>
    <w:rsid w:val="00674C5C"/>
    <w:rsid w:val="006B48EA"/>
    <w:rsid w:val="0077270E"/>
    <w:rsid w:val="007B6904"/>
    <w:rsid w:val="007C556D"/>
    <w:rsid w:val="007D1A0F"/>
    <w:rsid w:val="00802B6C"/>
    <w:rsid w:val="00896B43"/>
    <w:rsid w:val="009336E4"/>
    <w:rsid w:val="00963AB3"/>
    <w:rsid w:val="00971C24"/>
    <w:rsid w:val="00A24DD7"/>
    <w:rsid w:val="00A56049"/>
    <w:rsid w:val="00AA6525"/>
    <w:rsid w:val="00AE338C"/>
    <w:rsid w:val="00B546A4"/>
    <w:rsid w:val="00D50B40"/>
    <w:rsid w:val="00D562C6"/>
    <w:rsid w:val="00DB6C18"/>
    <w:rsid w:val="00DF4BDC"/>
    <w:rsid w:val="00E94434"/>
    <w:rsid w:val="00E96CD5"/>
    <w:rsid w:val="00EF2F7B"/>
    <w:rsid w:val="00F03BE6"/>
    <w:rsid w:val="00F15C50"/>
    <w:rsid w:val="00F87EDA"/>
    <w:rsid w:val="00F91E2A"/>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uslapioinaostekstas"/>
    <w:rPr>
      <w:lang w:eastAsia="ar-SA"/>
    </w:rPr>
  </w:style>
  <w:style w:type="paragraph" w:styleId="Puslapioinaostekstas">
    <w:name w:val="footnote text"/>
    <w:basedOn w:val="prastasis"/>
    <w:rPr>
      <w:sz w:val="20"/>
      <w:szCs w:val="20"/>
    </w:rPr>
  </w:style>
  <w:style w:type="paragraph" w:styleId="Antrats">
    <w:name w:val="header"/>
    <w:basedOn w:val="prastasis"/>
    <w:pPr>
      <w:tabs>
        <w:tab w:val="center" w:pos="4536"/>
        <w:tab w:val="right" w:pos="9072"/>
      </w:tabs>
    </w:pPr>
  </w:style>
  <w:style w:type="character" w:customStyle="1" w:styleId="StyleFootnoteReference10pt">
    <w:name w:val="Style Footnote Reference + 10 pt"/>
    <w:basedOn w:val="Numatytasispastraiposriftas"/>
    <w:rPr>
      <w:rFonts w:ascii="Times New Roman" w:hAnsi="Times New Roman"/>
      <w:color w:val="000000"/>
      <w:position w:val="6"/>
      <w:sz w:val="20"/>
      <w:vertAlign w:val="baseline"/>
    </w:rPr>
  </w:style>
  <w:style w:type="character" w:styleId="Puslapioinaosnuoroda">
    <w:name w:val="footnote reference"/>
    <w:basedOn w:val="Numatytasispastraiposriftas"/>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Numatytasispastraiposriftas"/>
    <w:rPr>
      <w:rFonts w:ascii="Times New Roman" w:hAnsi="Times New Roman"/>
      <w:strike w:val="0"/>
      <w:kern w:val="0"/>
      <w:position w:val="5"/>
      <w:sz w:val="24"/>
      <w:vertAlign w:val="subscript"/>
      <w:lang w:val="lt-LT" w:eastAsia="lt-LT" w:bidi="ar-SA"/>
    </w:rPr>
  </w:style>
  <w:style w:type="character" w:styleId="Hipersaitas">
    <w:name w:val="Hyperlink"/>
    <w:basedOn w:val="Numatytasispastraiposriftas"/>
    <w:rPr>
      <w:color w:val="0000FF"/>
      <w:u w:val="single"/>
    </w:rPr>
  </w:style>
  <w:style w:type="character" w:customStyle="1" w:styleId="apple-style-span">
    <w:name w:val="apple-style-span"/>
    <w:basedOn w:val="Numatytasispastraiposriftas"/>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7605</Words>
  <Characters>4336</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Gintautas</cp:lastModifiedBy>
  <cp:revision>12</cp:revision>
  <cp:lastPrinted>1899-12-31T21:00:00Z</cp:lastPrinted>
  <dcterms:created xsi:type="dcterms:W3CDTF">2017-05-30T09:05:00Z</dcterms:created>
  <dcterms:modified xsi:type="dcterms:W3CDTF">2017-05-30T09:58:00Z</dcterms:modified>
</cp:coreProperties>
</file>