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341" w:rsidRPr="007C1F79" w:rsidRDefault="00050AE1">
      <w:pPr>
        <w:rPr>
          <w:rFonts w:ascii="Cambria" w:hAnsi="Cambria"/>
          <w:b/>
          <w:sz w:val="28"/>
          <w:szCs w:val="28"/>
        </w:rPr>
      </w:pPr>
      <w:r w:rsidRPr="007C1F79">
        <w:rPr>
          <w:rFonts w:ascii="Cambria" w:hAnsi="Cambria"/>
          <w:b/>
          <w:sz w:val="28"/>
          <w:szCs w:val="28"/>
        </w:rPr>
        <w:t>Nepilnamečių baudžiamosios atsakom</w:t>
      </w:r>
      <w:r w:rsidR="00142C78" w:rsidRPr="007C1F79">
        <w:rPr>
          <w:rFonts w:ascii="Cambria" w:hAnsi="Cambria"/>
          <w:b/>
          <w:sz w:val="28"/>
          <w:szCs w:val="28"/>
        </w:rPr>
        <w:t>y</w:t>
      </w:r>
      <w:r w:rsidR="00FA6AC1" w:rsidRPr="007C1F79">
        <w:rPr>
          <w:rFonts w:ascii="Cambria" w:hAnsi="Cambria"/>
          <w:b/>
          <w:sz w:val="28"/>
          <w:szCs w:val="28"/>
        </w:rPr>
        <w:t xml:space="preserve">bės ypatumų kurso egzaminui </w:t>
      </w:r>
    </w:p>
    <w:p w:rsidR="00050AE1" w:rsidRDefault="00FA6AC1">
      <w:pPr>
        <w:rPr>
          <w:rFonts w:ascii="Cambria" w:hAnsi="Cambria"/>
          <w:b/>
          <w:sz w:val="20"/>
          <w:szCs w:val="20"/>
        </w:rPr>
      </w:pPr>
      <w:r w:rsidRPr="006C789C">
        <w:rPr>
          <w:rFonts w:ascii="Cambria" w:hAnsi="Cambria"/>
          <w:bCs/>
          <w:sz w:val="18"/>
          <w:szCs w:val="18"/>
        </w:rPr>
        <w:t>20</w:t>
      </w:r>
      <w:r w:rsidR="005F4365" w:rsidRPr="006C789C">
        <w:rPr>
          <w:rFonts w:ascii="Cambria" w:hAnsi="Cambria"/>
          <w:bCs/>
          <w:sz w:val="18"/>
          <w:szCs w:val="18"/>
          <w:lang w:val="de-DE"/>
        </w:rPr>
        <w:t>2</w:t>
      </w:r>
      <w:r w:rsidR="00B51341" w:rsidRPr="006C789C">
        <w:rPr>
          <w:rFonts w:ascii="Cambria" w:hAnsi="Cambria"/>
          <w:bCs/>
          <w:sz w:val="18"/>
          <w:szCs w:val="18"/>
          <w:lang w:val="de-DE"/>
        </w:rPr>
        <w:t>5</w:t>
      </w:r>
      <w:r w:rsidRPr="006C789C">
        <w:rPr>
          <w:rFonts w:ascii="Cambria" w:hAnsi="Cambria"/>
          <w:bCs/>
          <w:sz w:val="18"/>
          <w:szCs w:val="18"/>
        </w:rPr>
        <w:t>-</w:t>
      </w:r>
      <w:r w:rsidR="007A6A72" w:rsidRPr="006C789C">
        <w:rPr>
          <w:rFonts w:ascii="Cambria" w:hAnsi="Cambria"/>
          <w:bCs/>
          <w:sz w:val="18"/>
          <w:szCs w:val="18"/>
          <w:lang w:val="de-DE"/>
        </w:rPr>
        <w:t>12</w:t>
      </w:r>
      <w:r w:rsidRPr="006C789C">
        <w:rPr>
          <w:rFonts w:ascii="Cambria" w:hAnsi="Cambria"/>
          <w:bCs/>
          <w:sz w:val="18"/>
          <w:szCs w:val="18"/>
        </w:rPr>
        <w:t>-</w:t>
      </w:r>
      <w:r w:rsidR="00B51341" w:rsidRPr="006C789C">
        <w:rPr>
          <w:rFonts w:ascii="Cambria" w:hAnsi="Cambria"/>
          <w:bCs/>
          <w:sz w:val="18"/>
          <w:szCs w:val="18"/>
        </w:rPr>
        <w:t xml:space="preserve">19 </w:t>
      </w:r>
      <w:r w:rsidR="006C789C" w:rsidRPr="006C789C">
        <w:rPr>
          <w:rFonts w:ascii="Cambria" w:hAnsi="Cambria"/>
          <w:bCs/>
          <w:sz w:val="18"/>
          <w:szCs w:val="18"/>
          <w:lang w:val="de-DE"/>
        </w:rPr>
        <w:t xml:space="preserve">18.00 </w:t>
      </w:r>
      <w:proofErr w:type="spellStart"/>
      <w:r w:rsidR="006C789C" w:rsidRPr="006C789C">
        <w:rPr>
          <w:rFonts w:ascii="Cambria" w:hAnsi="Cambria"/>
          <w:bCs/>
          <w:sz w:val="18"/>
          <w:szCs w:val="18"/>
          <w:lang w:val="de-DE"/>
        </w:rPr>
        <w:t>val</w:t>
      </w:r>
      <w:proofErr w:type="spellEnd"/>
      <w:r w:rsidR="006C789C" w:rsidRPr="006C789C">
        <w:rPr>
          <w:rFonts w:ascii="Cambria" w:hAnsi="Cambria"/>
          <w:bCs/>
          <w:sz w:val="18"/>
          <w:szCs w:val="18"/>
          <w:lang w:val="de-DE"/>
        </w:rPr>
        <w:t xml:space="preserve">. </w:t>
      </w:r>
      <w:r w:rsidR="00B51341" w:rsidRPr="006C789C">
        <w:rPr>
          <w:rFonts w:ascii="Cambria" w:hAnsi="Cambria"/>
          <w:bCs/>
          <w:sz w:val="18"/>
          <w:szCs w:val="18"/>
        </w:rPr>
        <w:t xml:space="preserve">(Teisė MAN studijų programa) ir 2025-12-22 </w:t>
      </w:r>
      <w:r w:rsidR="006C789C" w:rsidRPr="006C789C">
        <w:rPr>
          <w:rFonts w:ascii="Cambria" w:hAnsi="Cambria"/>
          <w:bCs/>
          <w:sz w:val="18"/>
          <w:szCs w:val="18"/>
        </w:rPr>
        <w:t xml:space="preserve">11.00 val. </w:t>
      </w:r>
      <w:r w:rsidR="00B51341" w:rsidRPr="006C789C">
        <w:rPr>
          <w:rFonts w:ascii="Cambria" w:hAnsi="Cambria"/>
          <w:bCs/>
          <w:sz w:val="18"/>
          <w:szCs w:val="18"/>
        </w:rPr>
        <w:t>(dieninių studijų programa)</w:t>
      </w:r>
      <w:r w:rsidR="00050AE1" w:rsidRPr="003C6988">
        <w:rPr>
          <w:rFonts w:ascii="Cambria" w:hAnsi="Cambria"/>
          <w:b/>
          <w:sz w:val="20"/>
          <w:szCs w:val="20"/>
        </w:rPr>
        <w:t xml:space="preserve"> </w:t>
      </w:r>
      <w:r w:rsidR="00050AE1" w:rsidRPr="007C1F79">
        <w:rPr>
          <w:rFonts w:ascii="Cambria" w:hAnsi="Cambria"/>
          <w:b/>
          <w:sz w:val="28"/>
          <w:szCs w:val="28"/>
        </w:rPr>
        <w:t>klausimai</w:t>
      </w:r>
    </w:p>
    <w:p w:rsidR="007C1F79" w:rsidRPr="003C6988" w:rsidRDefault="007C1F79">
      <w:pPr>
        <w:rPr>
          <w:rFonts w:ascii="Cambria" w:hAnsi="Cambria"/>
          <w:b/>
          <w:sz w:val="20"/>
          <w:szCs w:val="20"/>
        </w:rPr>
      </w:pPr>
    </w:p>
    <w:p w:rsidR="00050AE1" w:rsidRPr="003C6988" w:rsidRDefault="00050AE1">
      <w:pPr>
        <w:rPr>
          <w:rFonts w:ascii="Cambria" w:hAnsi="Cambria"/>
          <w:b/>
          <w:sz w:val="12"/>
          <w:szCs w:val="12"/>
        </w:rPr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9776"/>
      </w:tblGrid>
      <w:tr w:rsidR="00050AE1" w:rsidRPr="003C6988" w:rsidTr="008B2579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FFFFF"/>
          </w:tcPr>
          <w:p w:rsidR="00050AE1" w:rsidRPr="00BA787D" w:rsidRDefault="00050AE1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 w:rsidRPr="00BA787D">
              <w:rPr>
                <w:rFonts w:ascii="Cambria" w:hAnsi="Cambria"/>
                <w:b/>
                <w:sz w:val="20"/>
                <w:szCs w:val="20"/>
              </w:rPr>
              <w:t>Bendra informacija</w:t>
            </w:r>
            <w:r w:rsidRPr="00BA787D">
              <w:rPr>
                <w:rFonts w:ascii="Cambria" w:hAnsi="Cambria"/>
                <w:sz w:val="20"/>
                <w:szCs w:val="20"/>
              </w:rPr>
              <w:t>:</w:t>
            </w:r>
          </w:p>
          <w:p w:rsidR="00050AE1" w:rsidRPr="00BA787D" w:rsidRDefault="00050AE1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 w:rsidRPr="00BA787D">
              <w:rPr>
                <w:rFonts w:ascii="Cambria" w:hAnsi="Cambria"/>
                <w:sz w:val="20"/>
                <w:szCs w:val="20"/>
              </w:rPr>
              <w:t xml:space="preserve">- apie tai, kas svarbiausia ruošiantis egzaminui, į ką bus kreipiamas didžiausias dėmesys egzaminuojant, kiek klausimų bus užduota ir kaip bus vertinami atsakymai </w:t>
            </w:r>
            <w:r w:rsidRPr="00BA787D">
              <w:rPr>
                <w:rFonts w:ascii="Cambria" w:hAnsi="Cambria"/>
                <w:b/>
                <w:sz w:val="20"/>
                <w:szCs w:val="20"/>
              </w:rPr>
              <w:t>žr. pirmąsias paskaitų skaidres</w:t>
            </w:r>
            <w:r w:rsidR="00B265DC" w:rsidRPr="00BA787D">
              <w:rPr>
                <w:rFonts w:ascii="Cambria" w:hAnsi="Cambria"/>
                <w:b/>
                <w:sz w:val="20"/>
                <w:szCs w:val="20"/>
              </w:rPr>
              <w:t>, taip pat žinių ir kompetencijos vertinimo skales</w:t>
            </w:r>
            <w:r w:rsidRPr="00BA787D">
              <w:rPr>
                <w:rFonts w:ascii="Cambria" w:hAnsi="Cambria"/>
                <w:sz w:val="20"/>
                <w:szCs w:val="20"/>
              </w:rPr>
              <w:t>;</w:t>
            </w:r>
          </w:p>
          <w:p w:rsidR="00050AE1" w:rsidRPr="00BA787D" w:rsidRDefault="00050AE1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 w:rsidRPr="00BA787D">
              <w:rPr>
                <w:rFonts w:ascii="Cambria" w:hAnsi="Cambria"/>
                <w:sz w:val="20"/>
                <w:szCs w:val="20"/>
              </w:rPr>
              <w:t xml:space="preserve">- visi pateikti klausimai buvo plačiau ar siauriau aptarti paskaitų metu; daugiau sisteminių žinių galima įgyti </w:t>
            </w:r>
            <w:r w:rsidRPr="00BA787D">
              <w:rPr>
                <w:rFonts w:ascii="Cambria" w:hAnsi="Cambria"/>
                <w:b/>
                <w:sz w:val="20"/>
                <w:szCs w:val="20"/>
              </w:rPr>
              <w:t>perskaičius bendrąją kurso literatūrą, nurodytą paskaitų skaidrėse</w:t>
            </w:r>
            <w:r w:rsidRPr="00BA787D">
              <w:rPr>
                <w:rFonts w:ascii="Cambria" w:hAnsi="Cambria"/>
                <w:sz w:val="20"/>
                <w:szCs w:val="20"/>
              </w:rPr>
              <w:t>;</w:t>
            </w:r>
          </w:p>
          <w:p w:rsidR="00050AE1" w:rsidRPr="00BA787D" w:rsidRDefault="00050AE1">
            <w:pPr>
              <w:spacing w:before="120" w:after="12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A787D">
              <w:rPr>
                <w:rFonts w:ascii="Cambria" w:hAnsi="Cambria"/>
                <w:sz w:val="20"/>
                <w:szCs w:val="20"/>
              </w:rPr>
              <w:t xml:space="preserve">- atsakant į klausimus </w:t>
            </w:r>
            <w:r w:rsidRPr="00BA787D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būtina remtis</w:t>
            </w:r>
            <w:r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ir paskaitų metu analizuotų mokslinių straipsnių tekstais;</w:t>
            </w:r>
          </w:p>
          <w:p w:rsidR="00050AE1" w:rsidRPr="00BA787D" w:rsidRDefault="00050AE1">
            <w:pPr>
              <w:spacing w:before="120" w:after="12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- klausimai egzamino metu </w:t>
            </w:r>
            <w:r w:rsidRPr="00BA787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nebus</w:t>
            </w:r>
            <w:r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suformuluoti taip, kaip jie suformuluoti šiame sąraše </w:t>
            </w:r>
            <w:r w:rsidR="006E7949"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>–</w:t>
            </w:r>
            <w:r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jie bus siauresni, suskaidyti į smulkesnius ir konkretesnius klausimus</w:t>
            </w:r>
            <w:r w:rsidR="005F4365"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>;</w:t>
            </w:r>
          </w:p>
          <w:p w:rsidR="005F4365" w:rsidRPr="003C6988" w:rsidRDefault="005F4365" w:rsidP="00B51D41">
            <w:pPr>
              <w:spacing w:before="120" w:after="120"/>
              <w:ind w:right="-120"/>
              <w:rPr>
                <w:rFonts w:ascii="Cambria" w:hAnsi="Cambria"/>
                <w:sz w:val="20"/>
                <w:szCs w:val="20"/>
              </w:rPr>
            </w:pPr>
            <w:r w:rsidRPr="00BA787D">
              <w:rPr>
                <w:rFonts w:ascii="Cambria" w:hAnsi="Cambria"/>
                <w:sz w:val="20"/>
                <w:szCs w:val="20"/>
              </w:rPr>
              <w:t xml:space="preserve">- atsakant į klausimus </w:t>
            </w:r>
            <w:r w:rsidRPr="00BA787D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bus galima naudotis viskuo</w:t>
            </w:r>
            <w:r w:rsidR="00002F30" w:rsidRPr="00BA787D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(</w:t>
            </w:r>
            <w:r w:rsidR="007A6A72" w:rsidRPr="00BA787D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išskyrus pagalbą iš išorės</w:t>
            </w:r>
            <w:r w:rsidR="001176E9" w:rsidRPr="00BA787D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ir atsakymus generuojančias </w:t>
            </w:r>
            <w:r w:rsidR="00B265DC" w:rsidRPr="00BA787D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DI </w:t>
            </w:r>
            <w:r w:rsidR="001176E9" w:rsidRPr="00BA787D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programas</w:t>
            </w:r>
            <w:r w:rsidR="00C4774F" w:rsidRPr="00BA787D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)</w:t>
            </w:r>
            <w:r w:rsidRPr="00BA787D">
              <w:rPr>
                <w:rFonts w:ascii="Cambria" w:hAnsi="Cambria"/>
                <w:sz w:val="20"/>
                <w:szCs w:val="20"/>
              </w:rPr>
              <w:t xml:space="preserve">, tačiau atsakymai turi </w:t>
            </w:r>
            <w:r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būti </w:t>
            </w:r>
            <w:r w:rsidRPr="00BA787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savarankiški</w:t>
            </w:r>
            <w:r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00BA787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originalūs</w:t>
            </w:r>
            <w:r w:rsidRPr="00BA78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atskleisti </w:t>
            </w:r>
            <w:r w:rsidRPr="00BA787D">
              <w:rPr>
                <w:rFonts w:ascii="Cambria" w:hAnsi="Cambria"/>
                <w:sz w:val="20"/>
                <w:szCs w:val="20"/>
              </w:rPr>
              <w:t>įgytą kompetenciją</w:t>
            </w:r>
            <w:r w:rsidRPr="00BA787D">
              <w:rPr>
                <w:rFonts w:ascii="Cambria" w:hAnsi="Cambria"/>
                <w:color w:val="C00000"/>
                <w:sz w:val="20"/>
                <w:szCs w:val="20"/>
              </w:rPr>
              <w:t>.</w:t>
            </w:r>
            <w:r w:rsidR="001176E9" w:rsidRPr="00BA787D">
              <w:rPr>
                <w:rFonts w:ascii="Cambria" w:hAnsi="Cambria"/>
                <w:color w:val="C00000"/>
                <w:sz w:val="20"/>
                <w:szCs w:val="20"/>
              </w:rPr>
              <w:t xml:space="preserve"> Atsakydami į klausimus nedarykite jokių </w:t>
            </w:r>
            <w:proofErr w:type="spellStart"/>
            <w:r w:rsidR="001176E9" w:rsidRPr="00BA787D">
              <w:rPr>
                <w:rFonts w:ascii="Cambria" w:hAnsi="Cambria"/>
                <w:color w:val="C00000"/>
                <w:sz w:val="20"/>
                <w:szCs w:val="20"/>
              </w:rPr>
              <w:t>copy</w:t>
            </w:r>
            <w:proofErr w:type="spellEnd"/>
            <w:r w:rsidR="001176E9" w:rsidRPr="00BA787D">
              <w:rPr>
                <w:rFonts w:ascii="Cambria" w:hAnsi="Cambria"/>
                <w:color w:val="C00000"/>
                <w:sz w:val="20"/>
                <w:szCs w:val="20"/>
              </w:rPr>
              <w:t>/</w:t>
            </w:r>
            <w:proofErr w:type="spellStart"/>
            <w:r w:rsidR="001176E9" w:rsidRPr="00BA787D">
              <w:rPr>
                <w:rFonts w:ascii="Cambria" w:hAnsi="Cambria"/>
                <w:color w:val="C00000"/>
                <w:sz w:val="20"/>
                <w:szCs w:val="20"/>
              </w:rPr>
              <w:t>paste</w:t>
            </w:r>
            <w:proofErr w:type="spellEnd"/>
            <w:r w:rsidR="001176E9" w:rsidRPr="00BA787D">
              <w:rPr>
                <w:rFonts w:ascii="Cambria" w:hAnsi="Cambria"/>
                <w:color w:val="C00000"/>
                <w:sz w:val="20"/>
                <w:szCs w:val="20"/>
              </w:rPr>
              <w:t xml:space="preserve"> iš skaidrių ar tekstų.</w:t>
            </w:r>
          </w:p>
        </w:tc>
      </w:tr>
    </w:tbl>
    <w:p w:rsidR="00050AE1" w:rsidRDefault="00050AE1">
      <w:pPr>
        <w:rPr>
          <w:rFonts w:ascii="Cambria" w:hAnsi="Cambria"/>
          <w:b/>
          <w:sz w:val="12"/>
          <w:szCs w:val="12"/>
        </w:rPr>
      </w:pPr>
    </w:p>
    <w:p w:rsidR="00CE3715" w:rsidRPr="003C6988" w:rsidRDefault="00CE3715">
      <w:pPr>
        <w:rPr>
          <w:rFonts w:ascii="Cambria" w:hAnsi="Cambria"/>
          <w:b/>
          <w:sz w:val="12"/>
          <w:szCs w:val="12"/>
        </w:rPr>
      </w:pP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1. Kodėl nepilnamečių baudžiamosios atsakomybės ypatumai yra būtini bet kurios šalies baudžiamosios teisės sistemoje?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2. Kokie nepilnamečių baudžiamosios atsakomybės ypatumai turimi mintyje, kai kalbame apie Lietuvoje veikiančią teisinę ir organizacinę sistemą? Iš ko, nuo ko ir kam yra šie ypatumai?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 xml:space="preserve">3. Kokie </w:t>
      </w:r>
      <w:proofErr w:type="spellStart"/>
      <w:r w:rsidRPr="007C1F79">
        <w:rPr>
          <w:rFonts w:ascii="Cambria" w:hAnsi="Cambria"/>
        </w:rPr>
        <w:t>makrosocialiniai</w:t>
      </w:r>
      <w:proofErr w:type="spellEnd"/>
      <w:r w:rsidRPr="007C1F79">
        <w:rPr>
          <w:rFonts w:ascii="Cambria" w:hAnsi="Cambria"/>
        </w:rPr>
        <w:t xml:space="preserve"> procesai būdingi jaunimo padėčiai šiuolaikinėse Vakarų kultūros visuomenėse ir kokią įtaką jie daro jaunimo elgesiui?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4. Kas būdinga jaunimo socialinės ir biologinės brandos procesui, kokią įtaką jis daro jauno žmogaus elgesiui?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5. Paauglystėje ir ankstyvojoje jaunystėje tenka išgyventi ir pergyventi įvairias asmenines krizes. Kokios jos ir kokią įtaką jos turi jaunimo elgesiui?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6. Kaip galėtumėte apibūdinti registruotą nepilnamečių nusikalstamą elgesį</w:t>
      </w:r>
      <w:r w:rsidR="00556E54" w:rsidRPr="007C1F79">
        <w:rPr>
          <w:rFonts w:ascii="Cambria" w:hAnsi="Cambria"/>
        </w:rPr>
        <w:t>, jo dinamiką ir struktūrą</w:t>
      </w:r>
      <w:r w:rsidRPr="007C1F79">
        <w:rPr>
          <w:rFonts w:ascii="Cambria" w:hAnsi="Cambria"/>
        </w:rPr>
        <w:t xml:space="preserve"> Lietuvoje 1990</w:t>
      </w:r>
      <w:r w:rsidR="00200266" w:rsidRPr="007C1F79">
        <w:rPr>
          <w:rFonts w:ascii="Cambria" w:hAnsi="Cambria"/>
        </w:rPr>
        <w:t>–20</w:t>
      </w:r>
      <w:r w:rsidR="002C1217" w:rsidRPr="007C1F79">
        <w:rPr>
          <w:rFonts w:ascii="Cambria" w:hAnsi="Cambria"/>
        </w:rPr>
        <w:t>2</w:t>
      </w:r>
      <w:r w:rsidR="00556E54" w:rsidRPr="007C1F79">
        <w:rPr>
          <w:rFonts w:ascii="Cambria" w:hAnsi="Cambria"/>
        </w:rPr>
        <w:t>4</w:t>
      </w:r>
      <w:r w:rsidRPr="007C1F79">
        <w:rPr>
          <w:rFonts w:ascii="Cambria" w:hAnsi="Cambria"/>
        </w:rPr>
        <w:t xml:space="preserve"> m.?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7. Ką rodo latentinio jaunimo nusikalstamo elgesio tyrimai, kuo šis elgesys skiriasi nuo registruoto jaunuolių nusikalstamo elgesio?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8. Viešoje erdvėje santykinai dažnai girdima nuomonė, kad vaikų / nepilnamečių „nusikalstamumas didėja, sunkėja ir jaunėja“? Ar ji pagrįsta ir kodėl?</w:t>
      </w:r>
      <w:r w:rsidR="00556E54" w:rsidRPr="007C1F79">
        <w:rPr>
          <w:rFonts w:ascii="Cambria" w:hAnsi="Cambria"/>
        </w:rPr>
        <w:t xml:space="preserve"> Pagrįskite atitinkamais rodikliais.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9. Teoretikai pagal įvairius požymius išskiria 5 nepilnamečių justicijos modelius, vyraujančius Vakarų kultūros šalyse. Kokie tai modeliai ir kuo jie skiriasi vienas nuo kito? Kokiam modeliui pagal šiuos požymius būtų galima priskirti Lietuvą</w:t>
      </w:r>
      <w:r w:rsidR="00556E54" w:rsidRPr="007C1F79">
        <w:rPr>
          <w:rFonts w:ascii="Cambria" w:hAnsi="Cambria"/>
        </w:rPr>
        <w:t xml:space="preserve"> ir</w:t>
      </w:r>
      <w:r w:rsidRPr="007C1F79">
        <w:rPr>
          <w:rFonts w:ascii="Cambria" w:hAnsi="Cambria"/>
        </w:rPr>
        <w:t xml:space="preserve"> kodėl</w:t>
      </w:r>
      <w:r w:rsidR="00556E54" w:rsidRPr="007C1F79">
        <w:rPr>
          <w:rFonts w:ascii="Cambria" w:hAnsi="Cambria"/>
        </w:rPr>
        <w:t>?</w:t>
      </w:r>
      <w:r w:rsidRPr="007C1F79">
        <w:rPr>
          <w:rFonts w:ascii="Cambria" w:hAnsi="Cambria"/>
        </w:rPr>
        <w:t xml:space="preserve"> </w:t>
      </w:r>
      <w:r w:rsidR="00556E54" w:rsidRPr="007C1F79">
        <w:rPr>
          <w:rFonts w:ascii="Cambria" w:hAnsi="Cambria"/>
        </w:rPr>
        <w:t>K</w:t>
      </w:r>
      <w:r w:rsidRPr="007C1F79">
        <w:rPr>
          <w:rFonts w:ascii="Cambria" w:hAnsi="Cambria"/>
        </w:rPr>
        <w:t xml:space="preserve">okie teoriniai </w:t>
      </w:r>
      <w:r w:rsidR="00556E54" w:rsidRPr="007C1F79">
        <w:rPr>
          <w:rFonts w:ascii="Cambria" w:hAnsi="Cambria"/>
        </w:rPr>
        <w:t>ir</w:t>
      </w:r>
      <w:r w:rsidRPr="007C1F79">
        <w:rPr>
          <w:rFonts w:ascii="Cambria" w:hAnsi="Cambria"/>
        </w:rPr>
        <w:t xml:space="preserve"> praktiniai tokio priskyrimo </w:t>
      </w:r>
      <w:r w:rsidR="00556E54" w:rsidRPr="007C1F79">
        <w:rPr>
          <w:rFonts w:ascii="Cambria" w:hAnsi="Cambria"/>
        </w:rPr>
        <w:t>pagrindai</w:t>
      </w:r>
      <w:r w:rsidRPr="007C1F79">
        <w:rPr>
          <w:rFonts w:ascii="Cambria" w:hAnsi="Cambria"/>
        </w:rPr>
        <w:t>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10. Kokia minimalaus baudžiamosios atsakomybės amžiaus sistema įtvirtinta Lietuvoje, kuo jis skiriasi ar yra panaši į kitų šalių sistemas, kokie jos privalumai ir trūkumai?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11. Kokius žinote tarptautinius dokumentus, įtvirtinančius nepilnamečių justicijos standartus?</w:t>
      </w:r>
      <w:r w:rsidR="00556E54" w:rsidRPr="007C1F79">
        <w:rPr>
          <w:rFonts w:ascii="Cambria" w:hAnsi="Cambria"/>
        </w:rPr>
        <w:t xml:space="preserve"> Kokia jų reikšmė?</w:t>
      </w:r>
    </w:p>
    <w:p w:rsidR="00050AE1" w:rsidRPr="00F9760F" w:rsidRDefault="00050AE1" w:rsidP="00B51D41">
      <w:pPr>
        <w:spacing w:before="60" w:after="60"/>
        <w:rPr>
          <w:rFonts w:ascii="Cambria" w:hAnsi="Cambria"/>
          <w:lang w:val="en-GB"/>
        </w:rPr>
      </w:pPr>
      <w:r w:rsidRPr="007C1F79">
        <w:rPr>
          <w:rFonts w:ascii="Cambria" w:hAnsi="Cambria"/>
        </w:rPr>
        <w:t>12. Kokias esmines elgesio su nusikalstančiais jaunuoliais (valstybės reakcijos) nuostatas įtvirtina tarptautiniai nepilnamečių justicijos standartai?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13. Kokių tarptautinių nepilnamečių justicijos standartų, Jūsų manymu, neatitinka nepilnamečių justicijos sistema Lietuvoje?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lastRenderedPageBreak/>
        <w:t>14. Kuo bendrieji bausmių tikslai bei jų skyrimo pagrindai skiriasi nuo nepilnamečiams taikomų bausmių tikslų ir skyrimo pagrindų?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15. Kokioms sąlygoms esant, galimas nepilnamečio atleidimas nuo baudžiamosios atsakomybės? Kaip vertinate šias sąlygas ir kodėl?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16. Kokios auklėjamojo poveikio priemonės gali būti taikomos nepilnamečiams ir kaip jų turiniu siekiama daryti teigiamą įtaką nepilnamečio elgesiui?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 xml:space="preserve">17. Kokie bausmių bei jų vykdymo ypatumai numatyti Lietuvos </w:t>
      </w:r>
      <w:r w:rsidR="00556E54" w:rsidRPr="007C1F79">
        <w:rPr>
          <w:rFonts w:ascii="Cambria" w:hAnsi="Cambria"/>
        </w:rPr>
        <w:t xml:space="preserve">Respublikos </w:t>
      </w:r>
      <w:r w:rsidRPr="007C1F79">
        <w:rPr>
          <w:rFonts w:ascii="Cambria" w:hAnsi="Cambria"/>
        </w:rPr>
        <w:t>B</w:t>
      </w:r>
      <w:r w:rsidR="00C961F2" w:rsidRPr="007C1F79">
        <w:rPr>
          <w:rFonts w:ascii="Cambria" w:hAnsi="Cambria"/>
        </w:rPr>
        <w:t>P</w:t>
      </w:r>
      <w:r w:rsidRPr="007C1F79">
        <w:rPr>
          <w:rFonts w:ascii="Cambria" w:hAnsi="Cambria"/>
        </w:rPr>
        <w:t>K, BVK ir Probacijos įstatyme?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18. Kas yra vaikų minimali priežiūra, koks jos turinys</w:t>
      </w:r>
      <w:r w:rsidR="007C1F79" w:rsidRPr="007C1F79">
        <w:rPr>
          <w:rFonts w:ascii="Cambria" w:hAnsi="Cambria"/>
        </w:rPr>
        <w:t>,</w:t>
      </w:r>
      <w:r w:rsidRPr="007C1F79">
        <w:rPr>
          <w:rFonts w:ascii="Cambria" w:hAnsi="Cambria"/>
        </w:rPr>
        <w:t xml:space="preserve"> kada ji gali būti taikoma</w:t>
      </w:r>
      <w:r w:rsidR="007C1F79" w:rsidRPr="007C1F79">
        <w:rPr>
          <w:rFonts w:ascii="Cambria" w:hAnsi="Cambria"/>
        </w:rPr>
        <w:t xml:space="preserve"> ir kokia jos įgyvendinimo </w:t>
      </w:r>
      <w:proofErr w:type="spellStart"/>
      <w:r w:rsidR="007C1F79" w:rsidRPr="007C1F79">
        <w:rPr>
          <w:rFonts w:ascii="Cambria" w:hAnsi="Cambria"/>
        </w:rPr>
        <w:t>probematika</w:t>
      </w:r>
      <w:proofErr w:type="spellEnd"/>
      <w:r w:rsidRPr="007C1F79">
        <w:rPr>
          <w:rFonts w:ascii="Cambria" w:hAnsi="Cambria"/>
        </w:rPr>
        <w:t>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 xml:space="preserve">19. Kas yra vaikų vidutinė priežiūra, koks jos turinys </w:t>
      </w:r>
      <w:r w:rsidR="007C1F79" w:rsidRPr="007C1F79">
        <w:rPr>
          <w:rFonts w:ascii="Cambria" w:hAnsi="Cambria"/>
        </w:rPr>
        <w:t xml:space="preserve">ir kokia jos įgyvendinimo </w:t>
      </w:r>
      <w:proofErr w:type="spellStart"/>
      <w:r w:rsidR="007C1F79" w:rsidRPr="007C1F79">
        <w:rPr>
          <w:rFonts w:ascii="Cambria" w:hAnsi="Cambria"/>
        </w:rPr>
        <w:t>probematika</w:t>
      </w:r>
      <w:proofErr w:type="spellEnd"/>
      <w:r w:rsidRPr="007C1F79">
        <w:rPr>
          <w:rFonts w:ascii="Cambria" w:hAnsi="Cambria"/>
        </w:rPr>
        <w:t>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20. Kokios numatytos galimybės nepilnamečių baudžiamosios atsakomybės ypatumus taikyti ir 18</w:t>
      </w:r>
      <w:r w:rsidR="003C6988" w:rsidRPr="007C1F79">
        <w:rPr>
          <w:rFonts w:ascii="Cambria" w:hAnsi="Cambria"/>
        </w:rPr>
        <w:t>–</w:t>
      </w:r>
      <w:r w:rsidRPr="007C1F79">
        <w:rPr>
          <w:rFonts w:ascii="Cambria" w:hAnsi="Cambria"/>
        </w:rPr>
        <w:t>20 metų asmenims bei kodėl, kokia teorija ir praktika kitose šalyse?</w:t>
      </w:r>
      <w:r w:rsidR="007C1F79" w:rsidRPr="007C1F79">
        <w:rPr>
          <w:rFonts w:ascii="Cambria" w:hAnsi="Cambria"/>
        </w:rPr>
        <w:t xml:space="preserve"> Kokie kriterijai lemia jaunuolių socialinį (ne)brandumą?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 xml:space="preserve">21. Kodėl įkalinimas </w:t>
      </w:r>
      <w:r w:rsidR="007C1F79" w:rsidRPr="007C1F79">
        <w:rPr>
          <w:rFonts w:ascii="Cambria" w:hAnsi="Cambria"/>
        </w:rPr>
        <w:t xml:space="preserve">ir bet koks kitas apgyvendinimas uždarose įstaigose </w:t>
      </w:r>
      <w:r w:rsidRPr="007C1F79">
        <w:rPr>
          <w:rFonts w:ascii="Cambria" w:hAnsi="Cambria"/>
        </w:rPr>
        <w:t>nepilnamečiams turėtų būti taikomas tik išskirtinai išimtiniais atvejais ir kokie reikalavimai jam keliami? (pagal BK ir JT Havanos taisykles). Kokia realios laisvės atėmimo bausmės taikymo bei vykdymo praktika Lietuvoje?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22. Kokias galimybes nepilnamečių justicijoje atveria mediacijos procesas ir kodėl daugelyje Vakarų kultūros šalių jis nepilnamečių bylose taikomas santykinai dažnai?</w:t>
      </w:r>
    </w:p>
    <w:p w:rsidR="00050AE1" w:rsidRPr="007C1F79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23. Kodėl būtina efektyvaus darbo su intensyviu nusikalstamu elgesiu pasižyminčiu nepilnamečiu prielaida yra santykio tarp jo ir darbuotojo (su)kūrimas?</w:t>
      </w:r>
    </w:p>
    <w:p w:rsidR="00AF44FE" w:rsidRPr="007C1F79" w:rsidRDefault="00AF44FE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24. Kodėl medijose nepilnamečių nusikalstamo elgesio tematika yra populiari ir kodėl šiose publikacijose retai gilinamasi į esminius nepilnamečių nusikalstamą elgesį lemiančius veiksnius bei veiksmingas jo mažinimo priemones?</w:t>
      </w:r>
    </w:p>
    <w:p w:rsidR="00050AE1" w:rsidRDefault="00050AE1" w:rsidP="00B51D41">
      <w:pPr>
        <w:spacing w:before="60" w:after="60"/>
        <w:rPr>
          <w:rFonts w:ascii="Cambria" w:hAnsi="Cambria"/>
        </w:rPr>
      </w:pPr>
      <w:r w:rsidRPr="007C1F79">
        <w:rPr>
          <w:rFonts w:ascii="Cambria" w:hAnsi="Cambria"/>
        </w:rPr>
        <w:t>2</w:t>
      </w:r>
      <w:r w:rsidR="00AF44FE" w:rsidRPr="007C1F79">
        <w:rPr>
          <w:rFonts w:ascii="Cambria" w:hAnsi="Cambria"/>
        </w:rPr>
        <w:t>5</w:t>
      </w:r>
      <w:r w:rsidRPr="007C1F79">
        <w:rPr>
          <w:rFonts w:ascii="Cambria" w:hAnsi="Cambria"/>
        </w:rPr>
        <w:t>. Kaip vertinate nepilnamečių justicijos sistemos Lietuvoje perspektyvas? Kas gali ir turi keistis? Kokie galimi jos raidos scenarijai? Nuo ko jie priklauso, kas jiems gali daryti didžiausią įtaką?</w:t>
      </w:r>
    </w:p>
    <w:p w:rsidR="00CE3715" w:rsidRDefault="00CE3715" w:rsidP="00B51D41">
      <w:pPr>
        <w:spacing w:before="60" w:after="60"/>
        <w:rPr>
          <w:rFonts w:ascii="Cambria" w:hAnsi="Cambria"/>
        </w:rPr>
      </w:pPr>
    </w:p>
    <w:p w:rsidR="00CE3715" w:rsidRPr="007C1F79" w:rsidRDefault="00CE3715" w:rsidP="00B51D41">
      <w:pPr>
        <w:spacing w:before="60" w:after="60"/>
        <w:rPr>
          <w:rFonts w:ascii="Cambria" w:hAnsi="Cambria"/>
        </w:rPr>
      </w:pPr>
    </w:p>
    <w:p w:rsidR="00050AE1" w:rsidRPr="003C6988" w:rsidRDefault="00050AE1">
      <w:pPr>
        <w:spacing w:before="40" w:after="40"/>
        <w:rPr>
          <w:rFonts w:ascii="Cambria" w:eastAsia="Wingdings" w:hAnsi="Cambria" w:cs="Wingdings"/>
          <w:color w:val="C00000"/>
          <w:sz w:val="16"/>
          <w:szCs w:val="16"/>
        </w:rPr>
      </w:pPr>
      <w:r w:rsidRPr="003C6988">
        <w:rPr>
          <w:rFonts w:ascii="Cambria" w:hAnsi="Cambria"/>
          <w:color w:val="C00000"/>
          <w:sz w:val="16"/>
          <w:szCs w:val="16"/>
        </w:rPr>
        <w:t>Linkiu įdomaus, prasmingo ir kompetenciją šioje srityje didinančio pasiruošimo egzaminui</w:t>
      </w:r>
      <w:r w:rsidR="00B51D41" w:rsidRPr="003C6988">
        <w:rPr>
          <w:rFonts w:ascii="Cambria" w:hAnsi="Cambria"/>
          <w:color w:val="C00000"/>
          <w:sz w:val="16"/>
          <w:szCs w:val="16"/>
        </w:rPr>
        <w:sym w:font="Wingdings" w:char="F04A"/>
      </w:r>
    </w:p>
    <w:sectPr w:rsidR="00050AE1" w:rsidRPr="003C6988" w:rsidSect="008B2579">
      <w:headerReference w:type="even" r:id="rId6"/>
      <w:headerReference w:type="default" r:id="rId7"/>
      <w:pgSz w:w="11906" w:h="16838"/>
      <w:pgMar w:top="1326" w:right="746" w:bottom="1508" w:left="126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3AF" w:rsidRDefault="009813AF" w:rsidP="00CE3715">
      <w:r>
        <w:separator/>
      </w:r>
    </w:p>
  </w:endnote>
  <w:endnote w:type="continuationSeparator" w:id="0">
    <w:p w:rsidR="009813AF" w:rsidRDefault="009813AF" w:rsidP="00CE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3AF" w:rsidRDefault="009813AF" w:rsidP="00CE3715">
      <w:r>
        <w:separator/>
      </w:r>
    </w:p>
  </w:footnote>
  <w:footnote w:type="continuationSeparator" w:id="0">
    <w:p w:rsidR="009813AF" w:rsidRDefault="009813AF" w:rsidP="00CE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7779650"/>
      <w:docPartObj>
        <w:docPartGallery w:val="Page Numbers (Top of Page)"/>
        <w:docPartUnique/>
      </w:docPartObj>
    </w:sdtPr>
    <w:sdtContent>
      <w:p w:rsidR="00CE3715" w:rsidRDefault="00CE3715" w:rsidP="002A5A95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E3715" w:rsidRDefault="00CE3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23446732"/>
      <w:docPartObj>
        <w:docPartGallery w:val="Page Numbers (Top of Page)"/>
        <w:docPartUnique/>
      </w:docPartObj>
    </w:sdtPr>
    <w:sdtContent>
      <w:p w:rsidR="00CE3715" w:rsidRDefault="00CE3715" w:rsidP="002A5A95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E3715" w:rsidRDefault="00CE37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36"/>
    <w:rsid w:val="00002F30"/>
    <w:rsid w:val="00050AE1"/>
    <w:rsid w:val="000C2E2D"/>
    <w:rsid w:val="000E350F"/>
    <w:rsid w:val="001176E9"/>
    <w:rsid w:val="00123AD6"/>
    <w:rsid w:val="00142C78"/>
    <w:rsid w:val="00173FBC"/>
    <w:rsid w:val="001B5B1E"/>
    <w:rsid w:val="00200266"/>
    <w:rsid w:val="002050A3"/>
    <w:rsid w:val="002A15CD"/>
    <w:rsid w:val="002C1217"/>
    <w:rsid w:val="003C6988"/>
    <w:rsid w:val="004B2AA3"/>
    <w:rsid w:val="005156C7"/>
    <w:rsid w:val="00544875"/>
    <w:rsid w:val="0055271B"/>
    <w:rsid w:val="00556E54"/>
    <w:rsid w:val="005F4365"/>
    <w:rsid w:val="006214C8"/>
    <w:rsid w:val="00676C38"/>
    <w:rsid w:val="006C789C"/>
    <w:rsid w:val="006E7949"/>
    <w:rsid w:val="00781703"/>
    <w:rsid w:val="007A2AEE"/>
    <w:rsid w:val="007A6A72"/>
    <w:rsid w:val="007C0CBB"/>
    <w:rsid w:val="007C1F79"/>
    <w:rsid w:val="008B2579"/>
    <w:rsid w:val="008F3236"/>
    <w:rsid w:val="009813AF"/>
    <w:rsid w:val="009E385B"/>
    <w:rsid w:val="00AF44FE"/>
    <w:rsid w:val="00B05736"/>
    <w:rsid w:val="00B06FD7"/>
    <w:rsid w:val="00B265DC"/>
    <w:rsid w:val="00B51341"/>
    <w:rsid w:val="00B51D41"/>
    <w:rsid w:val="00B54F13"/>
    <w:rsid w:val="00BA787D"/>
    <w:rsid w:val="00C4774F"/>
    <w:rsid w:val="00C961F2"/>
    <w:rsid w:val="00CA6BCA"/>
    <w:rsid w:val="00CD23BF"/>
    <w:rsid w:val="00CE3715"/>
    <w:rsid w:val="00D823FB"/>
    <w:rsid w:val="00DE2461"/>
    <w:rsid w:val="00F9760F"/>
    <w:rsid w:val="00F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EF44974"/>
  <w15:chartTrackingRefBased/>
  <w15:docId w15:val="{38D1EF2A-FB6B-AB47-92AD-816C95C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noteText"/>
    <w:rPr>
      <w:lang w:eastAsia="ar-SA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StyleFootnoteReference10pt">
    <w:name w:val="Style Footnote Reference + 10 pt"/>
    <w:rPr>
      <w:rFonts w:ascii="Times New Roman" w:hAnsi="Times New Roman"/>
      <w:color w:val="000000"/>
      <w:position w:val="6"/>
      <w:sz w:val="20"/>
      <w:vertAlign w:val="baseline"/>
    </w:rPr>
  </w:style>
  <w:style w:type="character" w:styleId="FootnoteReference">
    <w:name w:val="footnote reference"/>
    <w:rPr>
      <w:rFonts w:ascii="Times New Roman" w:hAnsi="Times New Roman"/>
      <w:position w:val="-2"/>
      <w:sz w:val="20"/>
      <w:vertAlign w:val="superscript"/>
    </w:rPr>
  </w:style>
  <w:style w:type="character" w:customStyle="1" w:styleId="FootnoteChar2">
    <w:name w:val="Footnote Char2"/>
    <w:aliases w:val="Fußnotentext Char Char3,Fußnotentext Char1 Char Char2,Fußnotentext Char Char Char Char2,Footnote Text Char Char2,Diagrama Diagrama Diagrama Diagrama Char Char2,Fußnotentext Char Char2,Footnote Text Char Char Char Char3,Footnote Char Char"/>
    <w:rPr>
      <w:rFonts w:ascii="Times New Roman" w:hAnsi="Times New Roman"/>
      <w:strike w:val="0"/>
      <w:kern w:val="0"/>
      <w:position w:val="5"/>
      <w:sz w:val="24"/>
      <w:vertAlign w:val="subscript"/>
      <w:lang w:val="lt-LT" w:eastAsia="lt-LT" w:bidi="ar-SA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7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715"/>
    <w:rPr>
      <w:color w:val="000000"/>
      <w:sz w:val="24"/>
      <w:szCs w:val="24"/>
      <w:lang w:val="lt-LT" w:eastAsia="lt-LT"/>
    </w:rPr>
  </w:style>
  <w:style w:type="character" w:styleId="PageNumber">
    <w:name w:val="page number"/>
    <w:basedOn w:val="DefaultParagraphFont"/>
    <w:uiPriority w:val="99"/>
    <w:semiHidden/>
    <w:unhideWhenUsed/>
    <w:rsid w:val="00CE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Kriminologijos egzamino klausimai 2011 m</vt:lpstr>
      <vt:lpstr>Kriminologijos egzamino klausimai 2011 m</vt:lpstr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Kriminologijos egzamino klausimai 2011 m</dc:title>
  <dc:subject/>
  <dc:creator>Gintautas Sakalauskas</dc:creator>
  <cp:keywords/>
  <dc:description/>
  <cp:lastModifiedBy>Gintautas Sakalauskas</cp:lastModifiedBy>
  <cp:revision>2</cp:revision>
  <cp:lastPrinted>1899-12-31T22:36:00Z</cp:lastPrinted>
  <dcterms:created xsi:type="dcterms:W3CDTF">2025-12-11T12:52:00Z</dcterms:created>
  <dcterms:modified xsi:type="dcterms:W3CDTF">2025-12-11T12:52:00Z</dcterms:modified>
</cp:coreProperties>
</file>