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AE1" w:rsidRPr="003C6988" w:rsidRDefault="00050AE1">
      <w:pPr>
        <w:rPr>
          <w:rFonts w:ascii="Cambria" w:hAnsi="Cambria"/>
          <w:b/>
          <w:sz w:val="20"/>
          <w:szCs w:val="20"/>
        </w:rPr>
      </w:pPr>
      <w:r w:rsidRPr="003C6988">
        <w:rPr>
          <w:rFonts w:ascii="Cambria" w:hAnsi="Cambria"/>
          <w:b/>
          <w:sz w:val="20"/>
          <w:szCs w:val="20"/>
        </w:rPr>
        <w:t>Nepilnamečių baudžiamosios atsakom</w:t>
      </w:r>
      <w:r w:rsidR="00142C78" w:rsidRPr="003C6988">
        <w:rPr>
          <w:rFonts w:ascii="Cambria" w:hAnsi="Cambria"/>
          <w:b/>
          <w:sz w:val="20"/>
          <w:szCs w:val="20"/>
        </w:rPr>
        <w:t>y</w:t>
      </w:r>
      <w:r w:rsidR="00FA6AC1" w:rsidRPr="003C6988">
        <w:rPr>
          <w:rFonts w:ascii="Cambria" w:hAnsi="Cambria"/>
          <w:b/>
          <w:sz w:val="20"/>
          <w:szCs w:val="20"/>
        </w:rPr>
        <w:t>bės ypatumų kurso egzaminui 20</w:t>
      </w:r>
      <w:r w:rsidR="005F4365" w:rsidRPr="003C6988">
        <w:rPr>
          <w:rFonts w:ascii="Cambria" w:hAnsi="Cambria"/>
          <w:b/>
          <w:sz w:val="20"/>
          <w:szCs w:val="20"/>
          <w:lang w:val="en-GB"/>
        </w:rPr>
        <w:t>2</w:t>
      </w:r>
      <w:r w:rsidR="000C2E2D">
        <w:rPr>
          <w:rFonts w:ascii="Cambria" w:hAnsi="Cambria"/>
          <w:b/>
          <w:sz w:val="20"/>
          <w:szCs w:val="20"/>
          <w:lang w:val="de-DE"/>
        </w:rPr>
        <w:t>4</w:t>
      </w:r>
      <w:r w:rsidR="00FA6AC1" w:rsidRPr="003C6988">
        <w:rPr>
          <w:rFonts w:ascii="Cambria" w:hAnsi="Cambria"/>
          <w:b/>
          <w:sz w:val="20"/>
          <w:szCs w:val="20"/>
        </w:rPr>
        <w:t>-</w:t>
      </w:r>
      <w:r w:rsidR="007A6A72" w:rsidRPr="003C6988">
        <w:rPr>
          <w:rFonts w:ascii="Cambria" w:hAnsi="Cambria"/>
          <w:b/>
          <w:sz w:val="20"/>
          <w:szCs w:val="20"/>
          <w:lang w:val="de-DE"/>
        </w:rPr>
        <w:t>12</w:t>
      </w:r>
      <w:r w:rsidR="00FA6AC1" w:rsidRPr="003C6988">
        <w:rPr>
          <w:rFonts w:ascii="Cambria" w:hAnsi="Cambria"/>
          <w:b/>
          <w:sz w:val="20"/>
          <w:szCs w:val="20"/>
        </w:rPr>
        <w:t>-</w:t>
      </w:r>
      <w:r w:rsidR="000C2E2D">
        <w:rPr>
          <w:rFonts w:ascii="Cambria" w:hAnsi="Cambria"/>
          <w:b/>
          <w:sz w:val="20"/>
          <w:szCs w:val="20"/>
        </w:rPr>
        <w:t>20</w:t>
      </w:r>
      <w:r w:rsidRPr="003C6988">
        <w:rPr>
          <w:rFonts w:ascii="Cambria" w:hAnsi="Cambria"/>
          <w:b/>
          <w:sz w:val="20"/>
          <w:szCs w:val="20"/>
        </w:rPr>
        <w:t xml:space="preserve"> klausimai</w:t>
      </w:r>
    </w:p>
    <w:p w:rsidR="00050AE1" w:rsidRPr="003C6988" w:rsidRDefault="00050AE1">
      <w:pPr>
        <w:rPr>
          <w:rFonts w:ascii="Cambria" w:hAnsi="Cambria"/>
          <w:b/>
          <w:sz w:val="12"/>
          <w:szCs w:val="12"/>
        </w:rPr>
      </w:pPr>
    </w:p>
    <w:tbl>
      <w:tblPr>
        <w:tblW w:w="10022" w:type="dxa"/>
        <w:tblLook w:val="0000" w:firstRow="0" w:lastRow="0" w:firstColumn="0" w:lastColumn="0" w:noHBand="0" w:noVBand="0"/>
      </w:tblPr>
      <w:tblGrid>
        <w:gridCol w:w="10022"/>
      </w:tblGrid>
      <w:tr w:rsidR="00050AE1" w:rsidRPr="003C6988">
        <w:tc>
          <w:tcPr>
            <w:tcW w:w="10022" w:type="dxa"/>
            <w:tcBorders>
              <w:top w:val="single" w:sz="4" w:space="0" w:color="000000"/>
              <w:left w:val="single" w:sz="4" w:space="0" w:color="000000"/>
              <w:bottom w:val="single" w:sz="4" w:space="0" w:color="000000"/>
              <w:right w:val="single" w:sz="4" w:space="0" w:color="000000"/>
            </w:tcBorders>
            <w:shd w:val="solid" w:color="E6E6E6" w:fill="FFFFFF"/>
          </w:tcPr>
          <w:p w:rsidR="00050AE1" w:rsidRPr="003C6988" w:rsidRDefault="00050AE1">
            <w:pPr>
              <w:spacing w:before="120" w:after="120"/>
              <w:rPr>
                <w:rFonts w:ascii="Cambria" w:hAnsi="Cambria"/>
                <w:sz w:val="16"/>
                <w:szCs w:val="16"/>
              </w:rPr>
            </w:pPr>
            <w:r w:rsidRPr="003C6988">
              <w:rPr>
                <w:rFonts w:ascii="Cambria" w:hAnsi="Cambria"/>
                <w:b/>
                <w:sz w:val="16"/>
                <w:szCs w:val="16"/>
              </w:rPr>
              <w:t>Bendra informacija</w:t>
            </w:r>
            <w:r w:rsidRPr="003C6988">
              <w:rPr>
                <w:rFonts w:ascii="Cambria" w:hAnsi="Cambria"/>
                <w:sz w:val="16"/>
                <w:szCs w:val="16"/>
              </w:rPr>
              <w:t>:</w:t>
            </w:r>
          </w:p>
          <w:p w:rsidR="00050AE1" w:rsidRPr="003C6988" w:rsidRDefault="00050AE1">
            <w:pPr>
              <w:spacing w:before="120" w:after="120"/>
              <w:rPr>
                <w:rFonts w:ascii="Cambria" w:hAnsi="Cambria"/>
                <w:sz w:val="16"/>
                <w:szCs w:val="16"/>
              </w:rPr>
            </w:pPr>
            <w:r w:rsidRPr="003C6988">
              <w:rPr>
                <w:rFonts w:ascii="Cambria" w:hAnsi="Cambria"/>
                <w:sz w:val="16"/>
                <w:szCs w:val="16"/>
              </w:rPr>
              <w:t xml:space="preserve">- apie tai, kas svarbiausia ruošiantis egzaminui, į ką bus kreipiamas didžiausias dėmesys egzaminuojant, kiek klausimų bus užduota ir kaip bus vertinami atsakymai </w:t>
            </w:r>
            <w:r w:rsidRPr="003C6988">
              <w:rPr>
                <w:rFonts w:ascii="Cambria" w:hAnsi="Cambria"/>
                <w:b/>
                <w:sz w:val="16"/>
                <w:szCs w:val="16"/>
              </w:rPr>
              <w:t>žr. pirmąsias paskaitų skaidres</w:t>
            </w:r>
            <w:r w:rsidRPr="003C6988">
              <w:rPr>
                <w:rFonts w:ascii="Cambria" w:hAnsi="Cambria"/>
                <w:sz w:val="16"/>
                <w:szCs w:val="16"/>
              </w:rPr>
              <w:t>;</w:t>
            </w:r>
          </w:p>
          <w:p w:rsidR="00050AE1" w:rsidRPr="003C6988" w:rsidRDefault="00050AE1">
            <w:pPr>
              <w:spacing w:before="120" w:after="120"/>
              <w:rPr>
                <w:rFonts w:ascii="Cambria" w:hAnsi="Cambria"/>
                <w:sz w:val="16"/>
                <w:szCs w:val="16"/>
              </w:rPr>
            </w:pPr>
            <w:r w:rsidRPr="003C6988">
              <w:rPr>
                <w:rFonts w:ascii="Cambria" w:hAnsi="Cambria"/>
                <w:sz w:val="16"/>
                <w:szCs w:val="16"/>
              </w:rPr>
              <w:t xml:space="preserve">- visi pateikti klausimai buvo plačiau ar siauriau aptarti paskaitų metu; daugiau sisteminių žinių galima įgyti </w:t>
            </w:r>
            <w:r w:rsidRPr="003C6988">
              <w:rPr>
                <w:rFonts w:ascii="Cambria" w:hAnsi="Cambria"/>
                <w:b/>
                <w:sz w:val="16"/>
                <w:szCs w:val="16"/>
              </w:rPr>
              <w:t>perskaičius bendrąją kurso literatūrą, nurodytą paskaitų skaidrėse</w:t>
            </w:r>
            <w:r w:rsidRPr="003C6988">
              <w:rPr>
                <w:rFonts w:ascii="Cambria" w:hAnsi="Cambria"/>
                <w:sz w:val="16"/>
                <w:szCs w:val="16"/>
              </w:rPr>
              <w:t>;</w:t>
            </w:r>
          </w:p>
          <w:p w:rsidR="00050AE1" w:rsidRPr="003C6988" w:rsidRDefault="00050AE1">
            <w:pPr>
              <w:spacing w:before="120" w:after="120"/>
              <w:rPr>
                <w:rFonts w:ascii="Cambria" w:hAnsi="Cambria"/>
                <w:sz w:val="16"/>
                <w:szCs w:val="16"/>
              </w:rPr>
            </w:pPr>
            <w:r w:rsidRPr="003C6988">
              <w:rPr>
                <w:rFonts w:ascii="Cambria" w:hAnsi="Cambria"/>
                <w:sz w:val="16"/>
                <w:szCs w:val="16"/>
              </w:rPr>
              <w:t xml:space="preserve">- atsakant į klausimus </w:t>
            </w:r>
            <w:r w:rsidRPr="003C6988">
              <w:rPr>
                <w:rFonts w:ascii="Cambria" w:hAnsi="Cambria"/>
                <w:b/>
                <w:color w:val="0070C0"/>
                <w:sz w:val="16"/>
                <w:szCs w:val="16"/>
              </w:rPr>
              <w:t>būtina remtis</w:t>
            </w:r>
            <w:r w:rsidRPr="003C6988">
              <w:rPr>
                <w:rFonts w:ascii="Cambria" w:hAnsi="Cambria"/>
                <w:sz w:val="16"/>
                <w:szCs w:val="16"/>
              </w:rPr>
              <w:t xml:space="preserve"> ir paskaitų metu analizuotų mokslinių straipsnių tekstais;</w:t>
            </w:r>
          </w:p>
          <w:p w:rsidR="00050AE1" w:rsidRPr="003C6988" w:rsidRDefault="00050AE1">
            <w:pPr>
              <w:spacing w:before="120" w:after="120"/>
              <w:rPr>
                <w:rFonts w:ascii="Cambria" w:hAnsi="Cambria"/>
                <w:sz w:val="16"/>
                <w:szCs w:val="16"/>
              </w:rPr>
            </w:pPr>
            <w:r w:rsidRPr="003C6988">
              <w:rPr>
                <w:rFonts w:ascii="Cambria" w:hAnsi="Cambria"/>
                <w:sz w:val="16"/>
                <w:szCs w:val="16"/>
              </w:rPr>
              <w:t xml:space="preserve">- </w:t>
            </w:r>
            <w:r w:rsidRPr="003C6988">
              <w:rPr>
                <w:rFonts w:ascii="Cambria" w:hAnsi="Cambria"/>
                <w:color w:val="0070C0"/>
                <w:sz w:val="16"/>
                <w:szCs w:val="16"/>
              </w:rPr>
              <w:t xml:space="preserve">klausimai egzamino metu </w:t>
            </w:r>
            <w:r w:rsidRPr="003C6988">
              <w:rPr>
                <w:rFonts w:ascii="Cambria" w:hAnsi="Cambria"/>
                <w:b/>
                <w:bCs/>
                <w:color w:val="0070C0"/>
                <w:sz w:val="16"/>
                <w:szCs w:val="16"/>
              </w:rPr>
              <w:t>nebus</w:t>
            </w:r>
            <w:r w:rsidRPr="003C6988">
              <w:rPr>
                <w:rFonts w:ascii="Cambria" w:hAnsi="Cambria"/>
                <w:color w:val="0070C0"/>
                <w:sz w:val="16"/>
                <w:szCs w:val="16"/>
              </w:rPr>
              <w:t xml:space="preserve"> suformuluoti taip, kaip jie suformuluoti šiame sąraše</w:t>
            </w:r>
            <w:r w:rsidRPr="003C6988">
              <w:rPr>
                <w:rFonts w:ascii="Cambria" w:hAnsi="Cambria"/>
                <w:sz w:val="16"/>
                <w:szCs w:val="16"/>
              </w:rPr>
              <w:t xml:space="preserve"> </w:t>
            </w:r>
            <w:r w:rsidR="006E7949" w:rsidRPr="003C6988">
              <w:rPr>
                <w:rFonts w:ascii="Cambria" w:hAnsi="Cambria"/>
                <w:sz w:val="16"/>
                <w:szCs w:val="16"/>
              </w:rPr>
              <w:t>–</w:t>
            </w:r>
            <w:r w:rsidRPr="003C6988">
              <w:rPr>
                <w:rFonts w:ascii="Cambria" w:hAnsi="Cambria"/>
                <w:sz w:val="16"/>
                <w:szCs w:val="16"/>
              </w:rPr>
              <w:t xml:space="preserve"> jie bus siauresni, suskaidyti į smulkesnius ir konkretesnius klausimus</w:t>
            </w:r>
            <w:r w:rsidR="005F4365" w:rsidRPr="003C6988">
              <w:rPr>
                <w:rFonts w:ascii="Cambria" w:hAnsi="Cambria"/>
                <w:sz w:val="16"/>
                <w:szCs w:val="16"/>
              </w:rPr>
              <w:t>;</w:t>
            </w:r>
          </w:p>
          <w:p w:rsidR="005F4365" w:rsidRPr="003C6988" w:rsidRDefault="005F4365" w:rsidP="00B51D41">
            <w:pPr>
              <w:spacing w:before="120" w:after="120"/>
              <w:ind w:right="-120"/>
              <w:rPr>
                <w:rFonts w:ascii="Cambria" w:hAnsi="Cambria"/>
                <w:sz w:val="20"/>
                <w:szCs w:val="20"/>
              </w:rPr>
            </w:pPr>
            <w:r w:rsidRPr="003C6988">
              <w:rPr>
                <w:rFonts w:ascii="Cambria" w:hAnsi="Cambria"/>
                <w:sz w:val="16"/>
                <w:szCs w:val="16"/>
              </w:rPr>
              <w:t xml:space="preserve">- atsakant į klausimus </w:t>
            </w:r>
            <w:r w:rsidRPr="003C6988">
              <w:rPr>
                <w:rFonts w:ascii="Cambria" w:hAnsi="Cambria"/>
                <w:b/>
                <w:bCs/>
                <w:color w:val="C00000"/>
                <w:sz w:val="16"/>
                <w:szCs w:val="16"/>
              </w:rPr>
              <w:t>bus galima naudotis viskuo</w:t>
            </w:r>
            <w:r w:rsidR="00002F30" w:rsidRPr="003C6988">
              <w:rPr>
                <w:rFonts w:ascii="Cambria" w:hAnsi="Cambria"/>
                <w:b/>
                <w:bCs/>
                <w:color w:val="C00000"/>
                <w:sz w:val="16"/>
                <w:szCs w:val="16"/>
              </w:rPr>
              <w:t xml:space="preserve"> (</w:t>
            </w:r>
            <w:r w:rsidR="007A6A72" w:rsidRPr="003C6988">
              <w:rPr>
                <w:rFonts w:ascii="Cambria" w:hAnsi="Cambria"/>
                <w:b/>
                <w:bCs/>
                <w:color w:val="C00000"/>
                <w:sz w:val="16"/>
                <w:szCs w:val="16"/>
              </w:rPr>
              <w:t>išskyrus pagalbą iš išorės</w:t>
            </w:r>
            <w:r w:rsidR="001176E9">
              <w:rPr>
                <w:rFonts w:ascii="Cambria" w:hAnsi="Cambria"/>
                <w:b/>
                <w:bCs/>
                <w:color w:val="C00000"/>
                <w:sz w:val="16"/>
                <w:szCs w:val="16"/>
              </w:rPr>
              <w:t xml:space="preserve"> ir atsakymus generuojančias programas</w:t>
            </w:r>
            <w:r w:rsidR="00C4774F" w:rsidRPr="003C6988">
              <w:rPr>
                <w:rFonts w:ascii="Cambria" w:hAnsi="Cambria"/>
                <w:b/>
                <w:bCs/>
                <w:color w:val="C00000"/>
                <w:sz w:val="16"/>
                <w:szCs w:val="16"/>
              </w:rPr>
              <w:t>)</w:t>
            </w:r>
            <w:r w:rsidRPr="003C6988">
              <w:rPr>
                <w:rFonts w:ascii="Cambria" w:hAnsi="Cambria"/>
                <w:sz w:val="16"/>
                <w:szCs w:val="16"/>
              </w:rPr>
              <w:t xml:space="preserve">, tačiau atsakymai turi būti </w:t>
            </w:r>
            <w:r w:rsidRPr="003C6988">
              <w:rPr>
                <w:rFonts w:ascii="Cambria" w:hAnsi="Cambria"/>
                <w:b/>
                <w:bCs/>
                <w:sz w:val="16"/>
                <w:szCs w:val="16"/>
              </w:rPr>
              <w:t>savarankiški</w:t>
            </w:r>
            <w:r w:rsidRPr="003C6988">
              <w:rPr>
                <w:rFonts w:ascii="Cambria" w:hAnsi="Cambria"/>
                <w:sz w:val="16"/>
                <w:szCs w:val="16"/>
              </w:rPr>
              <w:t xml:space="preserve">, </w:t>
            </w:r>
            <w:r w:rsidRPr="003C6988">
              <w:rPr>
                <w:rFonts w:ascii="Cambria" w:hAnsi="Cambria"/>
                <w:b/>
                <w:bCs/>
                <w:sz w:val="16"/>
                <w:szCs w:val="16"/>
              </w:rPr>
              <w:t>originalūs</w:t>
            </w:r>
            <w:r w:rsidRPr="003C6988">
              <w:rPr>
                <w:rFonts w:ascii="Cambria" w:hAnsi="Cambria"/>
                <w:sz w:val="16"/>
                <w:szCs w:val="16"/>
              </w:rPr>
              <w:t>, atskleisti įgytą kompetenciją</w:t>
            </w:r>
            <w:r w:rsidRPr="001176E9">
              <w:rPr>
                <w:rFonts w:ascii="Cambria" w:hAnsi="Cambria"/>
                <w:color w:val="C00000"/>
                <w:sz w:val="16"/>
                <w:szCs w:val="16"/>
              </w:rPr>
              <w:t>.</w:t>
            </w:r>
            <w:r w:rsidR="001176E9" w:rsidRPr="001176E9">
              <w:rPr>
                <w:rFonts w:ascii="Cambria" w:hAnsi="Cambria"/>
                <w:color w:val="C00000"/>
                <w:sz w:val="16"/>
                <w:szCs w:val="16"/>
              </w:rPr>
              <w:t xml:space="preserve"> Atsakydami į klausimus nedarykite jokių </w:t>
            </w:r>
            <w:proofErr w:type="spellStart"/>
            <w:r w:rsidR="001176E9" w:rsidRPr="001176E9">
              <w:rPr>
                <w:rFonts w:ascii="Cambria" w:hAnsi="Cambria"/>
                <w:color w:val="C00000"/>
                <w:sz w:val="16"/>
                <w:szCs w:val="16"/>
              </w:rPr>
              <w:t>copy</w:t>
            </w:r>
            <w:proofErr w:type="spellEnd"/>
            <w:r w:rsidR="001176E9" w:rsidRPr="001176E9">
              <w:rPr>
                <w:rFonts w:ascii="Cambria" w:hAnsi="Cambria"/>
                <w:color w:val="C00000"/>
                <w:sz w:val="16"/>
                <w:szCs w:val="16"/>
              </w:rPr>
              <w:t>/</w:t>
            </w:r>
            <w:proofErr w:type="spellStart"/>
            <w:r w:rsidR="001176E9" w:rsidRPr="001176E9">
              <w:rPr>
                <w:rFonts w:ascii="Cambria" w:hAnsi="Cambria"/>
                <w:color w:val="C00000"/>
                <w:sz w:val="16"/>
                <w:szCs w:val="16"/>
              </w:rPr>
              <w:t>paste</w:t>
            </w:r>
            <w:proofErr w:type="spellEnd"/>
            <w:r w:rsidR="001176E9" w:rsidRPr="001176E9">
              <w:rPr>
                <w:rFonts w:ascii="Cambria" w:hAnsi="Cambria"/>
                <w:color w:val="C00000"/>
                <w:sz w:val="16"/>
                <w:szCs w:val="16"/>
              </w:rPr>
              <w:t xml:space="preserve"> iš skaidrių ar tekstų.</w:t>
            </w:r>
          </w:p>
        </w:tc>
      </w:tr>
    </w:tbl>
    <w:p w:rsidR="00050AE1" w:rsidRPr="003C6988" w:rsidRDefault="00050AE1">
      <w:pPr>
        <w:rPr>
          <w:rFonts w:ascii="Cambria" w:hAnsi="Cambria"/>
          <w:b/>
          <w:sz w:val="12"/>
          <w:szCs w:val="12"/>
        </w:rPr>
      </w:pPr>
    </w:p>
    <w:p w:rsidR="00050AE1" w:rsidRPr="003C6988" w:rsidRDefault="00050AE1" w:rsidP="00B51D41">
      <w:pPr>
        <w:spacing w:before="60" w:after="60"/>
        <w:rPr>
          <w:rFonts w:ascii="Cambria" w:hAnsi="Cambria"/>
          <w:sz w:val="20"/>
          <w:szCs w:val="20"/>
        </w:rPr>
      </w:pPr>
      <w:r w:rsidRPr="003C6988">
        <w:rPr>
          <w:rFonts w:ascii="Cambria" w:hAnsi="Cambria"/>
          <w:sz w:val="20"/>
          <w:szCs w:val="20"/>
        </w:rPr>
        <w:t>1. Kodėl nepilnamečių baudžiamosios atsakomybės ypatumai yra būtini bet kurios šalies baudžiamosios teisės sistemoje?</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2. Kokie nepilnamečių baudžiamosios atsakomybės ypatumai turimi mintyje, kai kalbame apie Lietuvoje veikiančią teisinę ir organizacinę sistemą? Iš ko, nuo ko ir kam yra šie ypatumai?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 xml:space="preserve">3. Kokie </w:t>
      </w:r>
      <w:proofErr w:type="spellStart"/>
      <w:r w:rsidRPr="003C6988">
        <w:rPr>
          <w:rFonts w:ascii="Cambria" w:hAnsi="Cambria"/>
          <w:sz w:val="20"/>
          <w:szCs w:val="20"/>
        </w:rPr>
        <w:t>makrosocialiniai</w:t>
      </w:r>
      <w:proofErr w:type="spellEnd"/>
      <w:r w:rsidRPr="003C6988">
        <w:rPr>
          <w:rFonts w:ascii="Cambria" w:hAnsi="Cambria"/>
          <w:sz w:val="20"/>
          <w:szCs w:val="20"/>
        </w:rPr>
        <w:t xml:space="preserve"> procesai būdingi jaunimo padėčiai šiuolaikinėse Vakarų kultūros visuomenėse ir kokią įtaką jie daro jaunimo elgesiui?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4. Kas būdinga jaunimo socialinės ir biologinės brandos procesui, kokią įtaką jis daro jauno žmogaus elgesiui?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5. Paauglystėje ir ankstyvojoje jaunystėje tenka išgyventi ir pergyventi įvairias asmenines krizes. Kokios jos ir kokią įtaką jos turi jaunimo elgesiui?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6. Kaip galėtumėte apibūdinti registruotą nepilnamečių nusikalstamą elgesį Lietuvoje 1990</w:t>
      </w:r>
      <w:r w:rsidR="00200266" w:rsidRPr="003C6988">
        <w:rPr>
          <w:rFonts w:ascii="Cambria" w:hAnsi="Cambria"/>
          <w:sz w:val="20"/>
          <w:szCs w:val="20"/>
        </w:rPr>
        <w:t>–20</w:t>
      </w:r>
      <w:r w:rsidR="002C1217" w:rsidRPr="003C6988">
        <w:rPr>
          <w:rFonts w:ascii="Cambria" w:hAnsi="Cambria"/>
          <w:sz w:val="20"/>
          <w:szCs w:val="20"/>
        </w:rPr>
        <w:t>2</w:t>
      </w:r>
      <w:r w:rsidR="002A15CD">
        <w:rPr>
          <w:rFonts w:ascii="Cambria" w:hAnsi="Cambria"/>
          <w:sz w:val="20"/>
          <w:szCs w:val="20"/>
        </w:rPr>
        <w:t>3</w:t>
      </w:r>
      <w:r w:rsidRPr="003C6988">
        <w:rPr>
          <w:rFonts w:ascii="Cambria" w:hAnsi="Cambria"/>
          <w:sz w:val="20"/>
          <w:szCs w:val="20"/>
        </w:rPr>
        <w:t xml:space="preserve"> m.?</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 xml:space="preserve">7. Ką rodo </w:t>
      </w:r>
      <w:r w:rsidRPr="003C6988">
        <w:rPr>
          <w:rFonts w:ascii="Cambria" w:hAnsi="Cambria"/>
          <w:sz w:val="20"/>
          <w:szCs w:val="20"/>
          <w:u w:val="single"/>
        </w:rPr>
        <w:t>latentinio</w:t>
      </w:r>
      <w:r w:rsidRPr="003C6988">
        <w:rPr>
          <w:rFonts w:ascii="Cambria" w:hAnsi="Cambria"/>
          <w:sz w:val="20"/>
          <w:szCs w:val="20"/>
        </w:rPr>
        <w:t xml:space="preserve"> jaunimo nusikalstamo elgesio tyrimai, kuo šis elgesys skiriasi nuo </w:t>
      </w:r>
      <w:r w:rsidRPr="003C6988">
        <w:rPr>
          <w:rFonts w:ascii="Cambria" w:hAnsi="Cambria"/>
          <w:sz w:val="20"/>
          <w:szCs w:val="20"/>
          <w:u w:val="single"/>
        </w:rPr>
        <w:t>registruoto</w:t>
      </w:r>
      <w:r w:rsidRPr="003C6988">
        <w:rPr>
          <w:rFonts w:ascii="Cambria" w:hAnsi="Cambria"/>
          <w:sz w:val="20"/>
          <w:szCs w:val="20"/>
        </w:rPr>
        <w:t xml:space="preserve"> jaunuolių nusikalstamo elgesio?</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8. Viešoje erdvėje santykinai dažnai girdima nuomonė, kad vaikų / nepilnamečių „nusikalstamumas didėja, sunkėja ir jaunėja“? Ar ji pagrįsta ir kodėl?</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9. Teoretikai pagal įvairius požymius išskiria 5 nepilnamečių justicijos modelius, vyraujančius Vakarų kultūros šalyse. Kokie tai modeliai ir kuo jie skiriasi vienas nuo kito? Kokiam modeliui pagal šiuos požymius būtų galima priskirti Lietuvą, kodėl, kokie teoriniai bei praktiniai tokio priskyrimo padariniai?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10. Kokia minimalaus baudžiamosios atsakomybės amžiaus sistema įtvirtinta Lietuvoje, kuo jis skiriasi ar yra panaši į kitų šalių sistemas, kokie jos privalumai ir trūkumai?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11. Kokius žinote tarptautinius dokumentus, įtvirtinančius nepilnamečių justicijos standartus?</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12. Kokias esmines elgesio su nusikalstančiais jaunuoliais (valstybės reakcijos) nuostatas įtvirtina tarptautiniai nepilnamečių justicijos standartai?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13. Kokių tarptautinių nepilnamečių justicijos standartų, Jūsų manymu, neatitinka nepilnamečių justicijos sistema Lietuvoje?</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14. Kuo bendrieji bausmių tikslai bei jų skyrimo pagrindai skiriasi nuo nepilnamečiams taikomų bausmių tikslų ir skyrimo pagrindų?</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15. Kokioms sąlygoms esant, galimas nepilnamečio atleidimas nuo baudžiamosios atsakomybės? Kaip vertinate šias sąlygas ir kodėl?</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16. Kokios auklėjamojo poveikio priemonės gali būti taikomos nepilnamečiams ir kaip jų turiniu siekiama daryti teigiamą įtaką nepilnamečio elgesiui?</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17. Kokie bausmių bei jų vykdymo ypatumai numatyti Lietuvos B</w:t>
      </w:r>
      <w:r w:rsidR="00C961F2" w:rsidRPr="003C6988">
        <w:rPr>
          <w:rFonts w:ascii="Cambria" w:hAnsi="Cambria"/>
          <w:sz w:val="20"/>
          <w:szCs w:val="20"/>
        </w:rPr>
        <w:t>P</w:t>
      </w:r>
      <w:r w:rsidRPr="003C6988">
        <w:rPr>
          <w:rFonts w:ascii="Cambria" w:hAnsi="Cambria"/>
          <w:sz w:val="20"/>
          <w:szCs w:val="20"/>
        </w:rPr>
        <w:t>K, BVK ir Probacijos įstatyme?</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 xml:space="preserve">18. Kas yra vaikų </w:t>
      </w:r>
      <w:r w:rsidRPr="003C6988">
        <w:rPr>
          <w:rFonts w:ascii="Cambria" w:hAnsi="Cambria"/>
          <w:sz w:val="20"/>
          <w:szCs w:val="20"/>
          <w:u w:val="single"/>
        </w:rPr>
        <w:t>minimali</w:t>
      </w:r>
      <w:r w:rsidRPr="003C6988">
        <w:rPr>
          <w:rFonts w:ascii="Cambria" w:hAnsi="Cambria"/>
          <w:sz w:val="20"/>
          <w:szCs w:val="20"/>
        </w:rPr>
        <w:t xml:space="preserve"> priežiūra, koks jos turinys ir kada ji gali būti taikoma?</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 xml:space="preserve">19. Kas yra vaikų </w:t>
      </w:r>
      <w:r w:rsidRPr="003C6988">
        <w:rPr>
          <w:rFonts w:ascii="Cambria" w:hAnsi="Cambria"/>
          <w:sz w:val="20"/>
          <w:szCs w:val="20"/>
          <w:u w:val="single"/>
        </w:rPr>
        <w:t>vidutinė</w:t>
      </w:r>
      <w:r w:rsidRPr="003C6988">
        <w:rPr>
          <w:rFonts w:ascii="Cambria" w:hAnsi="Cambria"/>
          <w:sz w:val="20"/>
          <w:szCs w:val="20"/>
        </w:rPr>
        <w:t xml:space="preserve"> priežiūra, koks jos turinys ir kada ji gali būti taikoma?</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20. Kokios numatytos galimybės nepilnamečių baudžiamosios atsakomybės ypatumus taikyti ir 18</w:t>
      </w:r>
      <w:r w:rsidR="003C6988">
        <w:rPr>
          <w:rFonts w:ascii="Cambria" w:hAnsi="Cambria"/>
          <w:sz w:val="20"/>
          <w:szCs w:val="20"/>
        </w:rPr>
        <w:t>–</w:t>
      </w:r>
      <w:r w:rsidRPr="003C6988">
        <w:rPr>
          <w:rFonts w:ascii="Cambria" w:hAnsi="Cambria"/>
          <w:sz w:val="20"/>
          <w:szCs w:val="20"/>
        </w:rPr>
        <w:t>20 metų asmenims bei kodėl, kokia teorija ir praktika kitose šalyse?</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21. Kodėl įkalinimas nepilnamečiams turėtų būti taikomas tik išskirtinai išimtiniais atvejais ir kokie reikalavimai jam keliami? (pagal BK ir JT Havanos taisykles). Kokia realios laisvės atėmimo bausmės taikymo bei vykdymo praktika Lietuvoje?</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22. Kokias galimybes nepilnamečių justicijoje atveria mediacijos procesas ir kodėl daugelyje Vakarų kultūros šalių jis nepilnamečių bylose taikomas santykinai dažnai?</w:t>
      </w:r>
    </w:p>
    <w:p w:rsidR="00050AE1" w:rsidRDefault="00050AE1" w:rsidP="00B51D41">
      <w:pPr>
        <w:spacing w:before="60" w:after="60"/>
        <w:rPr>
          <w:rFonts w:ascii="Cambria" w:hAnsi="Cambria"/>
          <w:sz w:val="20"/>
          <w:szCs w:val="20"/>
        </w:rPr>
      </w:pPr>
      <w:r w:rsidRPr="003C6988">
        <w:rPr>
          <w:rFonts w:ascii="Cambria" w:hAnsi="Cambria"/>
          <w:sz w:val="20"/>
          <w:szCs w:val="20"/>
        </w:rPr>
        <w:t>23. Kodėl būtina efektyvaus darbo su intensyviu nusikalstamu elgesiu pasižyminčiu nepilnamečiu prielaida yra santykio tarp jo ir darbuotojo (su)kūrimas?</w:t>
      </w:r>
    </w:p>
    <w:p w:rsidR="00AF44FE" w:rsidRPr="003C6988" w:rsidRDefault="00AF44FE" w:rsidP="00B51D41">
      <w:pPr>
        <w:spacing w:before="60" w:after="60"/>
        <w:rPr>
          <w:rFonts w:ascii="Cambria" w:hAnsi="Cambria"/>
          <w:sz w:val="20"/>
          <w:szCs w:val="20"/>
        </w:rPr>
      </w:pPr>
      <w:r>
        <w:rPr>
          <w:rFonts w:ascii="Cambria" w:hAnsi="Cambria"/>
          <w:sz w:val="20"/>
          <w:szCs w:val="20"/>
        </w:rPr>
        <w:t>24. Kodėl medijose nepilnamečių nusikalstamo elgesio tematika yra populiari ir kodėl šiose publikacijose retai gilinamasi į esminius nepilnamečių nusikalstamą elgesį lemiančius veiksnius bei veiksmingas jo mažinimo priemones?</w:t>
      </w:r>
    </w:p>
    <w:p w:rsidR="00050AE1" w:rsidRPr="003C6988" w:rsidRDefault="00050AE1" w:rsidP="00B51D41">
      <w:pPr>
        <w:spacing w:before="60" w:after="60"/>
        <w:rPr>
          <w:rFonts w:ascii="Cambria" w:hAnsi="Cambria"/>
          <w:sz w:val="20"/>
          <w:szCs w:val="20"/>
        </w:rPr>
      </w:pPr>
      <w:r w:rsidRPr="003C6988">
        <w:rPr>
          <w:rFonts w:ascii="Cambria" w:hAnsi="Cambria"/>
          <w:sz w:val="20"/>
          <w:szCs w:val="20"/>
        </w:rPr>
        <w:t>2</w:t>
      </w:r>
      <w:r w:rsidR="00AF44FE">
        <w:rPr>
          <w:rFonts w:ascii="Cambria" w:hAnsi="Cambria"/>
          <w:sz w:val="20"/>
          <w:szCs w:val="20"/>
        </w:rPr>
        <w:t>5</w:t>
      </w:r>
      <w:r w:rsidRPr="003C6988">
        <w:rPr>
          <w:rFonts w:ascii="Cambria" w:hAnsi="Cambria"/>
          <w:sz w:val="20"/>
          <w:szCs w:val="20"/>
        </w:rPr>
        <w:t>. Kaip vertinate nepilnamečių justicijos sistemos Lietuvoje perspektyvas? Kas gali ir turi keistis? Kokie galimi jos raidos scenarijai? Nuo ko jie priklauso, kas jiems gali daryti didžiausią įtaką?</w:t>
      </w:r>
    </w:p>
    <w:p w:rsidR="00050AE1" w:rsidRPr="003C6988" w:rsidRDefault="00050AE1">
      <w:pPr>
        <w:spacing w:before="40" w:after="40"/>
        <w:rPr>
          <w:rFonts w:ascii="Cambria" w:eastAsia="Wingdings" w:hAnsi="Cambria" w:cs="Wingdings"/>
          <w:color w:val="C00000"/>
          <w:sz w:val="16"/>
          <w:szCs w:val="16"/>
        </w:rPr>
      </w:pPr>
      <w:r w:rsidRPr="003C6988">
        <w:rPr>
          <w:rFonts w:ascii="Cambria" w:hAnsi="Cambria"/>
          <w:color w:val="C00000"/>
          <w:sz w:val="16"/>
          <w:szCs w:val="16"/>
        </w:rPr>
        <w:t>Linkiu įdomaus, prasmingo ir kompetenciją šioje srityje didinančio pasiruošimo egzaminui</w:t>
      </w:r>
      <w:r w:rsidR="00B51D41" w:rsidRPr="003C6988">
        <w:rPr>
          <w:rFonts w:ascii="Cambria" w:hAnsi="Cambria"/>
          <w:color w:val="C00000"/>
          <w:sz w:val="16"/>
          <w:szCs w:val="16"/>
        </w:rPr>
        <w:sym w:font="Wingdings" w:char="F04A"/>
      </w:r>
    </w:p>
    <w:sectPr w:rsidR="00050AE1" w:rsidRPr="003C6988" w:rsidSect="00AF44FE">
      <w:pgSz w:w="11906" w:h="16838"/>
      <w:pgMar w:top="360" w:right="746" w:bottom="364" w:left="126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36"/>
    <w:rsid w:val="00002F30"/>
    <w:rsid w:val="00050AE1"/>
    <w:rsid w:val="000C2E2D"/>
    <w:rsid w:val="000E350F"/>
    <w:rsid w:val="001176E9"/>
    <w:rsid w:val="00123AD6"/>
    <w:rsid w:val="00142C78"/>
    <w:rsid w:val="00173FBC"/>
    <w:rsid w:val="001B5B1E"/>
    <w:rsid w:val="00200266"/>
    <w:rsid w:val="002050A3"/>
    <w:rsid w:val="002A15CD"/>
    <w:rsid w:val="002C1217"/>
    <w:rsid w:val="003C6988"/>
    <w:rsid w:val="004B2AA3"/>
    <w:rsid w:val="005156C7"/>
    <w:rsid w:val="00544875"/>
    <w:rsid w:val="0055271B"/>
    <w:rsid w:val="005F4365"/>
    <w:rsid w:val="006214C8"/>
    <w:rsid w:val="00676C38"/>
    <w:rsid w:val="006E7949"/>
    <w:rsid w:val="00781703"/>
    <w:rsid w:val="007A2AEE"/>
    <w:rsid w:val="007A6A72"/>
    <w:rsid w:val="007C0CBB"/>
    <w:rsid w:val="008F3236"/>
    <w:rsid w:val="009E385B"/>
    <w:rsid w:val="00AF44FE"/>
    <w:rsid w:val="00B05736"/>
    <w:rsid w:val="00B06FD7"/>
    <w:rsid w:val="00B51D41"/>
    <w:rsid w:val="00B54F13"/>
    <w:rsid w:val="00C4774F"/>
    <w:rsid w:val="00C961F2"/>
    <w:rsid w:val="00CA6BCA"/>
    <w:rsid w:val="00CD23BF"/>
    <w:rsid w:val="00D823FB"/>
    <w:rsid w:val="00DE2461"/>
    <w:rsid w:val="00FA6AC1"/>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63A12D"/>
  <w15:chartTrackingRefBased/>
  <w15:docId w15:val="{38D1EF2A-FB6B-AB47-92AD-816C95C1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rPr>
      <w:lang w:eastAsia="ar-SA"/>
    </w:rPr>
  </w:style>
  <w:style w:type="paragraph" w:styleId="FootnoteText">
    <w:name w:val="footnote text"/>
    <w:basedOn w:val="Normal"/>
    <w:rPr>
      <w:sz w:val="20"/>
      <w:szCs w:val="20"/>
    </w:rPr>
  </w:style>
  <w:style w:type="character" w:customStyle="1" w:styleId="StyleFootnoteReference10pt">
    <w:name w:val="Style Footnote Reference + 10 pt"/>
    <w:rPr>
      <w:rFonts w:ascii="Times New Roman" w:hAnsi="Times New Roman"/>
      <w:color w:val="000000"/>
      <w:position w:val="6"/>
      <w:sz w:val="20"/>
      <w:vertAlign w:val="baseline"/>
    </w:rPr>
  </w:style>
  <w:style w:type="character" w:styleId="FootnoteReference">
    <w:name w:val="footnote reference"/>
    <w:rPr>
      <w:rFonts w:ascii="Times New Roman" w:hAnsi="Times New Roman"/>
      <w:position w:val="-2"/>
      <w:sz w:val="20"/>
      <w:vertAlign w:val="superscript"/>
    </w:rPr>
  </w:style>
  <w:style w:type="character" w:customStyle="1" w:styleId="FootnoteChar2">
    <w:name w:val="Footnote Char2"/>
    <w:aliases w:val="Fußnotentext Char Char3,Fußnotentext Char1 Char Char2,Fußnotentext Char Char Char Char2,Footnote Text Char Char2,Diagrama Diagrama Diagrama Diagrama Char Char2,Fußnotentext Char Char2,Footnote Text Char Char Char Char3,Footnote Char Char"/>
    <w:rPr>
      <w:rFonts w:ascii="Times New Roman" w:hAnsi="Times New Roman"/>
      <w:strike w:val="0"/>
      <w:kern w:val="0"/>
      <w:position w:val="5"/>
      <w:sz w:val="24"/>
      <w:vertAlign w:val="subscript"/>
      <w:lang w:val="lt-LT" w:eastAsia="lt-LT" w:bidi="ar-SA"/>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Kriminologijos egzamino klausimai 2011 m</vt:lpstr>
      <vt:lpstr>Kriminologijos egzamino klausimai 2011 m</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Kriminologijos egzamino klausimai 2011 m</dc:title>
  <dc:subject/>
  <dc:creator>Gintautas Sakalauskas</dc:creator>
  <cp:keywords/>
  <dc:description/>
  <cp:lastModifiedBy>Gintautas Sakalauskas</cp:lastModifiedBy>
  <cp:revision>4</cp:revision>
  <cp:lastPrinted>1899-12-31T22:36:00Z</cp:lastPrinted>
  <dcterms:created xsi:type="dcterms:W3CDTF">2024-12-09T11:05:00Z</dcterms:created>
  <dcterms:modified xsi:type="dcterms:W3CDTF">2024-12-09T11:06:00Z</dcterms:modified>
</cp:coreProperties>
</file>