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1A" w:rsidRPr="004B47A0" w:rsidRDefault="0007301A" w:rsidP="004B47A0">
      <w:pPr>
        <w:rPr>
          <w:b/>
        </w:rPr>
      </w:pPr>
      <w:bookmarkStart w:id="0" w:name="_Toc85335230"/>
      <w:bookmarkStart w:id="1" w:name="_GoBack"/>
      <w:bookmarkEnd w:id="1"/>
      <w:r>
        <w:t xml:space="preserve"> </w:t>
      </w:r>
      <w:r w:rsidRPr="004B47A0">
        <w:rPr>
          <w:b/>
          <w:i/>
          <w:lang w:val="lt-LT"/>
        </w:rPr>
        <w:t>Užduotys</w:t>
      </w:r>
      <w:bookmarkEnd w:id="0"/>
    </w:p>
    <w:p w:rsidR="0007301A" w:rsidRDefault="0007301A">
      <w:pPr>
        <w:rPr>
          <w:lang w:val="lt-LT"/>
        </w:rPr>
      </w:pPr>
    </w:p>
    <w:p w:rsidR="00733A23" w:rsidRDefault="00733A23" w:rsidP="00733A23">
      <w:pPr>
        <w:rPr>
          <w:lang w:val="lt-LT"/>
        </w:rPr>
      </w:pPr>
      <w:r>
        <w:rPr>
          <w:lang w:val="lt-LT"/>
        </w:rPr>
        <w:t xml:space="preserve">Sukurti pagal duotą </w:t>
      </w:r>
      <w:r w:rsidR="00157CD3">
        <w:rPr>
          <w:lang w:val="lt-LT"/>
        </w:rPr>
        <w:t>pavyzdį ir sunumeruoti lenteles</w:t>
      </w:r>
      <w:r>
        <w:rPr>
          <w:lang w:val="lt-LT"/>
        </w:rPr>
        <w:t xml:space="preserve"> (</w:t>
      </w:r>
      <w:r w:rsidR="009965D3">
        <w:rPr>
          <w:lang w:val="lt-LT"/>
        </w:rPr>
        <w:t>References</w:t>
      </w:r>
      <w:r>
        <w:rPr>
          <w:lang w:val="lt-LT"/>
        </w:rPr>
        <w:t>-</w:t>
      </w:r>
      <w:r w:rsidR="009965D3">
        <w:rPr>
          <w:lang w:val="lt-LT"/>
        </w:rPr>
        <w:t xml:space="preserve">Insert </w:t>
      </w:r>
      <w:r>
        <w:rPr>
          <w:lang w:val="lt-LT"/>
        </w:rPr>
        <w:t>Caption-Label(Table)-OK).</w:t>
      </w:r>
    </w:p>
    <w:p w:rsidR="004B47A0" w:rsidRDefault="004B47A0" w:rsidP="00733A23">
      <w:pPr>
        <w:rPr>
          <w:lang w:val="lt-LT"/>
        </w:rPr>
      </w:pPr>
    </w:p>
    <w:p w:rsidR="004B47A0" w:rsidRDefault="004B47A0" w:rsidP="00733A23">
      <w:pPr>
        <w:rPr>
          <w:lang w:val="lt-LT"/>
        </w:rPr>
      </w:pPr>
      <w:r w:rsidRPr="004B47A0">
        <w:rPr>
          <w:b/>
          <w:i/>
          <w:lang w:val="lt-LT"/>
        </w:rPr>
        <w:t>Lentelės</w:t>
      </w:r>
    </w:p>
    <w:p w:rsidR="004B47A0" w:rsidRDefault="004B47A0" w:rsidP="004B47A0">
      <w:pPr>
        <w:rPr>
          <w:lang w:val="lt-LT"/>
        </w:rPr>
      </w:pPr>
    </w:p>
    <w:p w:rsidR="004B47A0" w:rsidRDefault="003F4646" w:rsidP="00733A23">
      <w:pPr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9525</wp:posOffset>
            </wp:positionV>
            <wp:extent cx="1457325" cy="1695450"/>
            <wp:effectExtent l="0" t="0" r="0" b="0"/>
            <wp:wrapSquare wrapText="bothSides"/>
            <wp:docPr id="4" name="Picture 3" descr="3uzd-2len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uzd-2lente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4572000" cy="1659255"/>
            <wp:effectExtent l="0" t="0" r="0" b="0"/>
            <wp:wrapSquare wrapText="bothSides"/>
            <wp:docPr id="3" name="Picture 2" descr="3uzd-1len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uzd-1lente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A23" w:rsidRDefault="00733A23" w:rsidP="00733A23">
      <w:pPr>
        <w:rPr>
          <w:lang w:val="lt-LT"/>
        </w:rPr>
      </w:pPr>
    </w:p>
    <w:p w:rsidR="004B47A0" w:rsidRDefault="004B47A0" w:rsidP="004B47A0">
      <w:pPr>
        <w:rPr>
          <w:lang w:val="lt-LT"/>
        </w:rPr>
      </w:pPr>
      <w:r w:rsidRPr="004B47A0">
        <w:rPr>
          <w:b/>
          <w:i/>
          <w:lang w:val="lt-LT"/>
        </w:rPr>
        <w:t>Formulės</w:t>
      </w:r>
    </w:p>
    <w:p w:rsidR="004B47A0" w:rsidRDefault="004B47A0" w:rsidP="00733A23">
      <w:pPr>
        <w:rPr>
          <w:lang w:val="lt-LT"/>
        </w:rPr>
      </w:pPr>
    </w:p>
    <w:p w:rsidR="0007301A" w:rsidRDefault="0007301A">
      <w:pPr>
        <w:rPr>
          <w:lang w:val="lt-LT"/>
        </w:rPr>
      </w:pPr>
      <w:r>
        <w:rPr>
          <w:lang w:val="lt-LT"/>
        </w:rPr>
        <w:t xml:space="preserve">Surašyti ir sunumeruoti formules </w:t>
      </w:r>
      <w:r w:rsidR="00733A23">
        <w:rPr>
          <w:lang w:val="lt-LT"/>
        </w:rPr>
        <w:t>pagal žemiau</w:t>
      </w:r>
      <w:r>
        <w:rPr>
          <w:lang w:val="lt-LT"/>
        </w:rPr>
        <w:t xml:space="preserve"> </w:t>
      </w:r>
      <w:r w:rsidR="00733A23">
        <w:rPr>
          <w:lang w:val="lt-LT"/>
        </w:rPr>
        <w:t>pateiktą pavyzdį</w:t>
      </w:r>
      <w:r>
        <w:rPr>
          <w:lang w:val="lt-LT"/>
        </w:rPr>
        <w:t>. Formulės rašomos puslapio centre, jų numeracija lygiuojama pagal dešinįjį kraštą.</w:t>
      </w:r>
      <w:r w:rsidR="009965D3">
        <w:rPr>
          <w:lang w:val="lt-LT"/>
        </w:rPr>
        <w:t xml:space="preserve"> Sunumeruoti formules (References-Insert Caption-Label(Equation)-OK).</w:t>
      </w:r>
    </w:p>
    <w:p w:rsidR="00733A23" w:rsidRDefault="003F4646" w:rsidP="00495056">
      <w:pPr>
        <w:jc w:val="center"/>
        <w:rPr>
          <w:lang w:val="lt-LT"/>
        </w:rPr>
      </w:pPr>
      <w:r w:rsidRPr="00495056">
        <w:rPr>
          <w:noProof/>
          <w:lang w:val="lt-LT" w:eastAsia="lt-LT"/>
        </w:rPr>
        <w:drawing>
          <wp:inline distT="0" distB="0" distL="0" distR="0">
            <wp:extent cx="5143500" cy="4991100"/>
            <wp:effectExtent l="0" t="0" r="0" b="0"/>
            <wp:docPr id="1" name="Picture 1" descr="Docum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1A" w:rsidRDefault="0007301A">
      <w:pPr>
        <w:rPr>
          <w:lang w:val="lt-LT"/>
        </w:rPr>
      </w:pPr>
      <w:r>
        <w:rPr>
          <w:lang w:val="lt-LT"/>
        </w:rPr>
        <w:t xml:space="preserve">Į žemiau duotąjį tekstą </w:t>
      </w:r>
      <w:r w:rsidRPr="00260062">
        <w:rPr>
          <w:b/>
          <w:u w:val="single"/>
          <w:lang w:val="lt-LT"/>
        </w:rPr>
        <w:t>pagal pavyzdį</w:t>
      </w:r>
      <w:r w:rsidR="00495056">
        <w:rPr>
          <w:lang w:val="lt-LT"/>
        </w:rPr>
        <w:t xml:space="preserve"> (žr. paskutinį užduoties puslapį)</w:t>
      </w:r>
      <w:r>
        <w:rPr>
          <w:lang w:val="lt-LT"/>
        </w:rPr>
        <w:t xml:space="preserve"> įterpti paveiksliukus iš failų </w:t>
      </w:r>
      <w:r>
        <w:rPr>
          <w:b/>
          <w:bCs/>
          <w:lang w:val="lt-LT"/>
        </w:rPr>
        <w:t>2uzd-1pav.jpg</w:t>
      </w:r>
      <w:r>
        <w:rPr>
          <w:lang w:val="lt-LT"/>
        </w:rPr>
        <w:t xml:space="preserve"> , </w:t>
      </w:r>
      <w:r>
        <w:rPr>
          <w:b/>
          <w:bCs/>
          <w:lang w:val="lt-LT"/>
        </w:rPr>
        <w:t>2uzd-2pav.jpg</w:t>
      </w:r>
      <w:r>
        <w:rPr>
          <w:lang w:val="lt-LT"/>
        </w:rPr>
        <w:t xml:space="preserve"> ir </w:t>
      </w:r>
      <w:r>
        <w:rPr>
          <w:b/>
          <w:bCs/>
          <w:lang w:val="lt-LT"/>
        </w:rPr>
        <w:t>2uzd-3pav.jpg</w:t>
      </w:r>
      <w:r>
        <w:rPr>
          <w:lang w:val="lt-LT"/>
        </w:rPr>
        <w:t xml:space="preserve">, juos sunumeruoti, užrašyti pavadinimus po </w:t>
      </w:r>
      <w:r>
        <w:rPr>
          <w:lang w:val="lt-LT"/>
        </w:rPr>
        <w:lastRenderedPageBreak/>
        <w:t>paveikslais. Įterpimui galima naudoti “Text Box” arba</w:t>
      </w:r>
      <w:r w:rsidR="00260062">
        <w:rPr>
          <w:lang w:val="lt-LT"/>
        </w:rPr>
        <w:t xml:space="preserve"> dviejų skilčių</w:t>
      </w:r>
      <w:r>
        <w:rPr>
          <w:lang w:val="lt-LT"/>
        </w:rPr>
        <w:t xml:space="preserve"> lenteles</w:t>
      </w:r>
      <w:r w:rsidR="00260062">
        <w:rPr>
          <w:lang w:val="lt-LT"/>
        </w:rPr>
        <w:t xml:space="preserve"> (paveiksliukui ir paveiksliuko pavadinimui)</w:t>
      </w:r>
      <w:r>
        <w:rPr>
          <w:lang w:val="lt-LT"/>
        </w:rPr>
        <w:t>.</w:t>
      </w:r>
      <w:r w:rsidR="00260062">
        <w:rPr>
          <w:lang w:val="lt-LT"/>
        </w:rPr>
        <w:t xml:space="preserve"> </w:t>
      </w:r>
    </w:p>
    <w:p w:rsidR="0007301A" w:rsidRDefault="0007301A">
      <w:pPr>
        <w:rPr>
          <w:lang w:val="lt-LT"/>
        </w:rPr>
      </w:pPr>
      <w:r>
        <w:rPr>
          <w:lang w:val="lt-LT"/>
        </w:rPr>
        <w:t>Pakeisti paragrafų pavadinimų (“</w:t>
      </w:r>
      <w:r w:rsidR="00260062">
        <w:rPr>
          <w:lang w:val="lt-LT"/>
        </w:rPr>
        <w:t>U</w:t>
      </w:r>
      <w:r>
        <w:rPr>
          <w:lang w:val="lt-LT"/>
        </w:rPr>
        <w:t>žduotys”, “</w:t>
      </w:r>
      <w:r w:rsidR="00260062">
        <w:rPr>
          <w:lang w:val="lt-LT"/>
        </w:rPr>
        <w:t>F</w:t>
      </w:r>
      <w:r>
        <w:rPr>
          <w:lang w:val="lt-LT"/>
        </w:rPr>
        <w:t>ormulės”, “</w:t>
      </w:r>
      <w:r w:rsidR="00260062">
        <w:rPr>
          <w:lang w:val="lt-LT"/>
        </w:rPr>
        <w:t>L</w:t>
      </w:r>
      <w:r>
        <w:rPr>
          <w:lang w:val="lt-LT"/>
        </w:rPr>
        <w:t>entelės” ir “</w:t>
      </w:r>
      <w:r w:rsidR="00260062">
        <w:rPr>
          <w:lang w:val="lt-LT"/>
        </w:rPr>
        <w:t>P</w:t>
      </w:r>
      <w:r>
        <w:rPr>
          <w:lang w:val="lt-LT"/>
        </w:rPr>
        <w:t>aveiksliukai”) stilių į “Heading1”.</w:t>
      </w:r>
    </w:p>
    <w:p w:rsidR="0007301A" w:rsidRDefault="00260062">
      <w:pPr>
        <w:rPr>
          <w:lang w:val="lt-LT"/>
        </w:rPr>
      </w:pPr>
      <w:r>
        <w:rPr>
          <w:lang w:val="lt-LT"/>
        </w:rPr>
        <w:t>Teksto pabaigoje į</w:t>
      </w:r>
      <w:r w:rsidR="0007301A">
        <w:rPr>
          <w:lang w:val="lt-LT"/>
        </w:rPr>
        <w:t xml:space="preserve">terpti </w:t>
      </w:r>
      <w:r>
        <w:rPr>
          <w:lang w:val="lt-LT"/>
        </w:rPr>
        <w:t>lentelių sąrašą, sudaryti ir įterpti turinį (table of content, TOC).</w:t>
      </w:r>
    </w:p>
    <w:p w:rsidR="0007301A" w:rsidRDefault="0007301A">
      <w:pPr>
        <w:rPr>
          <w:lang w:val="lt-LT"/>
        </w:rPr>
      </w:pPr>
      <w:r>
        <w:rPr>
          <w:lang w:val="lt-LT"/>
        </w:rPr>
        <w:t>Viršutinėje puslapių dalyje (Header) nurodyti dokumento kūrėją ir atskirti nuo likusio puslapio ištisine linija. Apatinėje puslapio dalyje (Foot</w:t>
      </w:r>
      <w:r w:rsidR="00260062">
        <w:rPr>
          <w:lang w:val="lt-LT"/>
        </w:rPr>
        <w:t>er) centre sunumeruoti puslapius</w:t>
      </w:r>
      <w:r>
        <w:rPr>
          <w:lang w:val="lt-LT"/>
        </w:rPr>
        <w:t xml:space="preserve">. </w:t>
      </w:r>
    </w:p>
    <w:p w:rsidR="0007301A" w:rsidRDefault="0007301A">
      <w:pPr>
        <w:rPr>
          <w:lang w:val="lt-LT"/>
        </w:rPr>
      </w:pPr>
    </w:p>
    <w:p w:rsidR="00260062" w:rsidRPr="0007301A" w:rsidRDefault="0007301A">
      <w:pPr>
        <w:rPr>
          <w:b/>
          <w:i/>
          <w:lang w:val="lt-LT"/>
        </w:rPr>
      </w:pPr>
      <w:r w:rsidRPr="0007301A">
        <w:rPr>
          <w:b/>
          <w:i/>
          <w:lang w:val="lt-LT"/>
        </w:rPr>
        <w:t>Tekstas</w:t>
      </w:r>
      <w:r w:rsidR="00260062" w:rsidRPr="0007301A">
        <w:rPr>
          <w:b/>
          <w:i/>
          <w:lang w:val="lt-LT"/>
        </w:rPr>
        <w:t>:</w:t>
      </w:r>
    </w:p>
    <w:p w:rsidR="00260062" w:rsidRDefault="00260062">
      <w:pPr>
        <w:rPr>
          <w:lang w:val="lt-LT"/>
        </w:rPr>
      </w:pPr>
    </w:p>
    <w:p w:rsidR="0007301A" w:rsidRDefault="0007301A">
      <w:r>
        <w:rPr>
          <w:b/>
          <w:bCs/>
          <w:color w:val="01A1C7"/>
        </w:rPr>
        <w:t xml:space="preserve">Internal Transmittance </w:t>
      </w:r>
      <w:r>
        <w:rPr>
          <w:color w:val="000000"/>
          <w:sz w:val="20"/>
          <w:szCs w:val="20"/>
        </w:rPr>
        <w:t>Filter manufacturers usually provide data for a glass of nominal thickness. Using Bouger’s law, you can calculate the transmission at other thicknesses. Manufacturers usually specify P</w:t>
      </w:r>
      <w:r>
        <w:rPr>
          <w:color w:val="000000"/>
          <w:sz w:val="12"/>
          <w:szCs w:val="12"/>
        </w:rPr>
        <w:t>d</w:t>
      </w:r>
      <w:r>
        <w:rPr>
          <w:color w:val="000000"/>
          <w:sz w:val="20"/>
          <w:szCs w:val="20"/>
        </w:rPr>
        <w:t xml:space="preserve">, so you can calculate the external transmittance from internal transmittance data. </w:t>
      </w:r>
      <w:r>
        <w:rPr>
          <w:b/>
          <w:bCs/>
          <w:color w:val="01A1C7"/>
        </w:rPr>
        <w:t xml:space="preserve">Prisms </w:t>
      </w:r>
      <w:r>
        <w:rPr>
          <w:color w:val="000000"/>
          <w:sz w:val="20"/>
          <w:szCs w:val="20"/>
        </w:rPr>
        <w:t xml:space="preserve">Prisms use glass with a high index of refraction to exploit the variation of refraction with wavelength. Blue light refracts more than red, providing a spectrum that can be isolated using a narrow slit. Internal prisms can be used to simply reflect light. Since total internal reflection is dependent on a difference in refractive index between materials, any dirt on the outer surface will reduce the reflective properties, a property that is exploited in finger print readers. </w:t>
      </w:r>
      <w:r>
        <w:rPr>
          <w:b/>
          <w:bCs/>
          <w:color w:val="01A1C7"/>
        </w:rPr>
        <w:t xml:space="preserve">Diffraction Gratings </w:t>
      </w:r>
      <w:r>
        <w:rPr>
          <w:color w:val="000000"/>
          <w:sz w:val="20"/>
          <w:szCs w:val="20"/>
        </w:rPr>
        <w:t xml:space="preserve">Most monochromators use gratings to disperse light into the spectrum. Gratings rely on interference between wavefronts caused by microscopically ruled diffraction lines on a mirrored surface. The wavelength of reflected light varies with angle, as defined by the grating equation, where m is the order of the spectrum (an integer). </w:t>
      </w:r>
    </w:p>
    <w:p w:rsidR="0007301A" w:rsidRDefault="0007301A"/>
    <w:p w:rsidR="0007301A" w:rsidRPr="0007301A" w:rsidRDefault="0007301A">
      <w:pPr>
        <w:rPr>
          <w:b/>
          <w:i/>
        </w:rPr>
      </w:pPr>
      <w:r w:rsidRPr="004B47A0">
        <w:rPr>
          <w:b/>
          <w:i/>
          <w:lang w:val="lt-LT"/>
        </w:rPr>
        <w:t>Pavyzdys</w:t>
      </w:r>
      <w:r w:rsidRPr="0007301A">
        <w:rPr>
          <w:b/>
          <w:i/>
        </w:rPr>
        <w:t>:</w:t>
      </w:r>
    </w:p>
    <w:p w:rsidR="0007301A" w:rsidRDefault="003F4646" w:rsidP="0007301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3581400" cy="5562600"/>
            <wp:effectExtent l="0" t="0" r="0" b="0"/>
            <wp:docPr id="2" name="Picture 2" descr="3uzd-tekstas su p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uzd-tekstas su pa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01A" w:rsidSect="00157CD3">
      <w:type w:val="continuous"/>
      <w:pgSz w:w="11906" w:h="16838"/>
      <w:pgMar w:top="709" w:right="746" w:bottom="89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4D7"/>
    <w:multiLevelType w:val="hybridMultilevel"/>
    <w:tmpl w:val="48902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638A"/>
    <w:multiLevelType w:val="hybridMultilevel"/>
    <w:tmpl w:val="BDFE4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22BAF"/>
    <w:multiLevelType w:val="hybridMultilevel"/>
    <w:tmpl w:val="13529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23"/>
    <w:rsid w:val="0007301A"/>
    <w:rsid w:val="00157CD3"/>
    <w:rsid w:val="00260062"/>
    <w:rsid w:val="003F4646"/>
    <w:rsid w:val="00495056"/>
    <w:rsid w:val="004B47A0"/>
    <w:rsid w:val="00733A23"/>
    <w:rsid w:val="009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0B96-21AD-4648-A6D1-959F26FE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7A9B-5F8D-4501-9236-71E278D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Užduotys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Užduotys</dc:title>
  <dc:subject/>
  <dc:creator>gytis</dc:creator>
  <cp:keywords/>
  <dc:description/>
  <cp:lastModifiedBy>sipf220</cp:lastModifiedBy>
  <cp:revision>2</cp:revision>
  <dcterms:created xsi:type="dcterms:W3CDTF">2019-09-19T13:21:00Z</dcterms:created>
  <dcterms:modified xsi:type="dcterms:W3CDTF">2019-09-19T13:21:00Z</dcterms:modified>
</cp:coreProperties>
</file>